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AD19" w14:textId="77777777" w:rsidR="00190D90" w:rsidRPr="00C830A6" w:rsidRDefault="00190D90" w:rsidP="00190D90">
      <w:pPr>
        <w:pStyle w:val="Naslov1"/>
        <w:rPr>
          <w:rFonts w:cstheme="minorHAnsi"/>
          <w:b/>
          <w:sz w:val="32"/>
        </w:rPr>
      </w:pPr>
      <w:r>
        <w:rPr>
          <w:rFonts w:cstheme="minorHAnsi"/>
          <w:b/>
          <w:sz w:val="32"/>
        </w:rPr>
        <w:t>Priloga št. 1</w:t>
      </w:r>
    </w:p>
    <w:p w14:paraId="4C165B98" w14:textId="77777777" w:rsidR="00190D90" w:rsidRPr="00C830A6" w:rsidRDefault="00190D90" w:rsidP="00190D90">
      <w:pPr>
        <w:pStyle w:val="Telobesedila"/>
        <w:spacing w:after="0" w:line="240" w:lineRule="auto"/>
        <w:jc w:val="center"/>
        <w:rPr>
          <w:rFonts w:asciiTheme="minorHAnsi" w:hAnsiTheme="minorHAnsi" w:cstheme="minorHAnsi"/>
          <w:b/>
          <w:sz w:val="22"/>
          <w:szCs w:val="22"/>
        </w:rPr>
      </w:pPr>
    </w:p>
    <w:p w14:paraId="10C4A2F3" w14:textId="77777777" w:rsidR="00190D90" w:rsidRPr="00C830A6" w:rsidRDefault="00190D90" w:rsidP="00190D90">
      <w:pPr>
        <w:pStyle w:val="Telobesedila"/>
        <w:spacing w:after="0" w:line="240" w:lineRule="auto"/>
        <w:jc w:val="center"/>
        <w:rPr>
          <w:rFonts w:asciiTheme="minorHAnsi" w:hAnsiTheme="minorHAnsi" w:cstheme="minorHAnsi"/>
          <w:b/>
          <w:sz w:val="22"/>
          <w:szCs w:val="22"/>
        </w:rPr>
      </w:pPr>
    </w:p>
    <w:p w14:paraId="62ABF7C0" w14:textId="77777777" w:rsidR="00190D90" w:rsidRPr="00C830A6" w:rsidRDefault="00190D90" w:rsidP="00190D90">
      <w:pPr>
        <w:pStyle w:val="Telobesedila"/>
        <w:spacing w:after="0" w:line="240" w:lineRule="auto"/>
        <w:jc w:val="center"/>
        <w:rPr>
          <w:rFonts w:asciiTheme="minorHAnsi" w:hAnsiTheme="minorHAnsi" w:cstheme="minorHAnsi"/>
          <w:b/>
          <w:sz w:val="22"/>
          <w:szCs w:val="22"/>
        </w:rPr>
      </w:pPr>
    </w:p>
    <w:p w14:paraId="7A4C78C8" w14:textId="77777777" w:rsidR="00190D90" w:rsidRPr="00C830A6" w:rsidRDefault="00190D90" w:rsidP="00190D90">
      <w:pPr>
        <w:pStyle w:val="Telobesedila"/>
        <w:spacing w:after="0" w:line="240" w:lineRule="auto"/>
        <w:jc w:val="center"/>
        <w:rPr>
          <w:rFonts w:asciiTheme="minorHAnsi" w:hAnsiTheme="minorHAnsi" w:cstheme="minorHAnsi"/>
          <w:b/>
          <w:sz w:val="28"/>
          <w:szCs w:val="28"/>
        </w:rPr>
      </w:pPr>
      <w:r w:rsidRPr="00C830A6">
        <w:rPr>
          <w:rFonts w:asciiTheme="minorHAnsi" w:hAnsiTheme="minorHAnsi" w:cstheme="minorHAnsi"/>
          <w:b/>
          <w:sz w:val="28"/>
          <w:szCs w:val="28"/>
        </w:rPr>
        <w:t xml:space="preserve">TEHNIČNA DOKUMENTACIJA ZA NAJEM POSLOVNIH PROSTOROV </w:t>
      </w:r>
    </w:p>
    <w:p w14:paraId="62C29068" w14:textId="77777777" w:rsidR="00190D90" w:rsidRPr="00C830A6" w:rsidRDefault="00190D90" w:rsidP="00190D90">
      <w:pPr>
        <w:pStyle w:val="Telobesedila"/>
        <w:spacing w:after="0" w:line="240" w:lineRule="auto"/>
        <w:jc w:val="center"/>
        <w:rPr>
          <w:rFonts w:asciiTheme="minorHAnsi" w:hAnsiTheme="minorHAnsi" w:cstheme="minorHAnsi"/>
          <w:b/>
          <w:sz w:val="28"/>
          <w:szCs w:val="28"/>
        </w:rPr>
      </w:pPr>
      <w:r w:rsidRPr="00C830A6">
        <w:rPr>
          <w:rFonts w:asciiTheme="minorHAnsi" w:hAnsiTheme="minorHAnsi" w:cstheme="minorHAnsi"/>
          <w:b/>
          <w:sz w:val="28"/>
          <w:szCs w:val="28"/>
        </w:rPr>
        <w:t>ZA POTREBE NACIONALNEGA INŠTITUTA ZA JAVNO ZDRAVJE</w:t>
      </w:r>
    </w:p>
    <w:p w14:paraId="5D2ADA71" w14:textId="77777777" w:rsidR="00190D90" w:rsidRPr="00C830A6" w:rsidRDefault="00190D90" w:rsidP="00190D90">
      <w:pPr>
        <w:ind w:left="360"/>
        <w:jc w:val="both"/>
        <w:rPr>
          <w:rFonts w:asciiTheme="minorHAnsi" w:hAnsiTheme="minorHAnsi" w:cstheme="minorHAnsi"/>
          <w:b/>
          <w:sz w:val="22"/>
          <w:szCs w:val="22"/>
        </w:rPr>
      </w:pPr>
    </w:p>
    <w:p w14:paraId="500B1A22" w14:textId="77777777" w:rsidR="00190D90" w:rsidRPr="00C830A6" w:rsidRDefault="00190D90" w:rsidP="00190D90">
      <w:pPr>
        <w:ind w:left="360"/>
        <w:jc w:val="both"/>
        <w:rPr>
          <w:rFonts w:asciiTheme="minorHAnsi" w:hAnsiTheme="minorHAnsi" w:cstheme="minorHAnsi"/>
          <w:b/>
          <w:sz w:val="22"/>
          <w:szCs w:val="22"/>
        </w:rPr>
      </w:pPr>
      <w:r w:rsidRPr="00C830A6">
        <w:rPr>
          <w:rFonts w:asciiTheme="minorHAnsi" w:hAnsiTheme="minorHAnsi" w:cstheme="minorHAnsi"/>
          <w:b/>
          <w:sz w:val="22"/>
          <w:szCs w:val="22"/>
        </w:rPr>
        <w:t xml:space="preserve">                                                                         </w:t>
      </w:r>
    </w:p>
    <w:p w14:paraId="54F67892" w14:textId="77777777" w:rsidR="00190D90" w:rsidRPr="00C830A6" w:rsidRDefault="00190D90" w:rsidP="00190D90">
      <w:pPr>
        <w:pStyle w:val="Naslov1"/>
      </w:pPr>
      <w:r w:rsidRPr="00C830A6">
        <w:t>Naročnik</w:t>
      </w:r>
    </w:p>
    <w:p w14:paraId="0E7C5A4D" w14:textId="77777777" w:rsidR="00190D90" w:rsidRPr="00C830A6" w:rsidRDefault="00190D90" w:rsidP="00190D90">
      <w:pPr>
        <w:ind w:left="360"/>
        <w:jc w:val="both"/>
        <w:rPr>
          <w:rFonts w:asciiTheme="minorHAnsi" w:hAnsiTheme="minorHAnsi" w:cstheme="minorHAnsi"/>
          <w:b/>
          <w:sz w:val="22"/>
          <w:szCs w:val="22"/>
        </w:rPr>
      </w:pPr>
    </w:p>
    <w:p w14:paraId="53A0E69B" w14:textId="77777777" w:rsidR="00190D90" w:rsidRPr="00C830A6" w:rsidRDefault="00190D90" w:rsidP="00190D90">
      <w:pPr>
        <w:spacing w:line="260" w:lineRule="exact"/>
        <w:jc w:val="both"/>
        <w:rPr>
          <w:rFonts w:asciiTheme="minorHAnsi" w:hAnsiTheme="minorHAnsi" w:cstheme="minorHAnsi"/>
          <w:sz w:val="22"/>
          <w:szCs w:val="22"/>
        </w:rPr>
      </w:pPr>
      <w:r w:rsidRPr="00C830A6">
        <w:rPr>
          <w:rFonts w:asciiTheme="minorHAnsi" w:hAnsiTheme="minorHAnsi" w:cstheme="minorHAnsi"/>
          <w:sz w:val="22"/>
          <w:szCs w:val="22"/>
          <w:lang w:eastAsia="en-US"/>
        </w:rPr>
        <w:t xml:space="preserve">Nacionalni inštitut za javno zdravje (v nadaljevanju: NIJZ), Trubarjeva cesta  2, 1000 Ljubljana. </w:t>
      </w:r>
    </w:p>
    <w:p w14:paraId="5EBBAFB5" w14:textId="77777777" w:rsidR="00190D90" w:rsidRPr="00C830A6" w:rsidRDefault="00190D90" w:rsidP="00190D90">
      <w:pPr>
        <w:pStyle w:val="Naslov1"/>
      </w:pPr>
      <w:r w:rsidRPr="00C830A6">
        <w:t>Predmet javnega zbiranja ponudb</w:t>
      </w:r>
    </w:p>
    <w:p w14:paraId="6150A611" w14:textId="77777777" w:rsidR="00190D90" w:rsidRPr="00C830A6" w:rsidRDefault="00190D90" w:rsidP="00190D90">
      <w:pPr>
        <w:ind w:left="360"/>
        <w:jc w:val="both"/>
        <w:rPr>
          <w:rFonts w:asciiTheme="minorHAnsi" w:hAnsiTheme="minorHAnsi" w:cstheme="minorHAnsi"/>
          <w:b/>
          <w:sz w:val="22"/>
          <w:szCs w:val="22"/>
        </w:rPr>
      </w:pPr>
    </w:p>
    <w:p w14:paraId="6DFFC8EB" w14:textId="77777777" w:rsidR="00190D90" w:rsidRPr="00C830A6" w:rsidRDefault="00190D90" w:rsidP="00190D90">
      <w:pPr>
        <w:pStyle w:val="Telobesedila"/>
        <w:spacing w:after="0" w:line="240" w:lineRule="auto"/>
        <w:jc w:val="both"/>
        <w:rPr>
          <w:rFonts w:asciiTheme="minorHAnsi" w:hAnsiTheme="minorHAnsi" w:cstheme="minorHAnsi"/>
          <w:sz w:val="22"/>
          <w:szCs w:val="22"/>
        </w:rPr>
      </w:pPr>
      <w:r w:rsidRPr="00C830A6">
        <w:rPr>
          <w:rFonts w:asciiTheme="minorHAnsi" w:hAnsiTheme="minorHAnsi" w:cstheme="minorHAnsi"/>
          <w:sz w:val="22"/>
          <w:szCs w:val="22"/>
        </w:rPr>
        <w:t xml:space="preserve">Predmet naročila je najem opremljenih poslovnih prostorov za potrebe NIJZ. </w:t>
      </w:r>
    </w:p>
    <w:p w14:paraId="08CBCB0C" w14:textId="77777777" w:rsidR="00190D90" w:rsidRPr="00C830A6" w:rsidRDefault="00190D90" w:rsidP="00190D90">
      <w:pPr>
        <w:pStyle w:val="Naslov1"/>
      </w:pPr>
      <w:r w:rsidRPr="00C830A6">
        <w:t>Pogoji oz. zahteve</w:t>
      </w:r>
    </w:p>
    <w:p w14:paraId="0D393F96" w14:textId="77777777" w:rsidR="00190D90" w:rsidRPr="00C830A6" w:rsidRDefault="00190D90" w:rsidP="00190D90">
      <w:pPr>
        <w:ind w:left="360"/>
        <w:jc w:val="both"/>
        <w:rPr>
          <w:rFonts w:asciiTheme="minorHAnsi" w:hAnsiTheme="minorHAnsi" w:cstheme="minorHAnsi"/>
          <w:b/>
          <w:sz w:val="22"/>
          <w:szCs w:val="22"/>
        </w:rPr>
      </w:pPr>
    </w:p>
    <w:p w14:paraId="6849281E" w14:textId="77777777" w:rsidR="00190D90" w:rsidRPr="00C830A6" w:rsidRDefault="00190D90" w:rsidP="00190D90">
      <w:pPr>
        <w:numPr>
          <w:ilvl w:val="1"/>
          <w:numId w:val="2"/>
        </w:numPr>
        <w:ind w:left="717" w:hanging="357"/>
        <w:jc w:val="both"/>
        <w:rPr>
          <w:rFonts w:asciiTheme="minorHAnsi" w:hAnsiTheme="minorHAnsi" w:cstheme="minorHAnsi"/>
          <w:sz w:val="22"/>
          <w:szCs w:val="22"/>
        </w:rPr>
      </w:pPr>
      <w:r w:rsidRPr="00C830A6">
        <w:rPr>
          <w:rFonts w:asciiTheme="minorHAnsi" w:hAnsiTheme="minorHAnsi" w:cstheme="minorHAnsi"/>
          <w:sz w:val="22"/>
          <w:szCs w:val="22"/>
        </w:rPr>
        <w:t xml:space="preserve">Poslovni prostori morajo biti locirani največ </w:t>
      </w:r>
      <w:r>
        <w:rPr>
          <w:rFonts w:asciiTheme="minorHAnsi" w:hAnsiTheme="minorHAnsi" w:cstheme="minorHAnsi"/>
          <w:sz w:val="22"/>
          <w:szCs w:val="22"/>
        </w:rPr>
        <w:t>300 m oziroma 10 minut peš poti od sedeža  NIJZ OE Koper, Vojkovo nabrežje 4a, Koper</w:t>
      </w:r>
      <w:r w:rsidRPr="00C830A6">
        <w:rPr>
          <w:rFonts w:asciiTheme="minorHAnsi" w:hAnsiTheme="minorHAnsi" w:cstheme="minorHAnsi"/>
          <w:sz w:val="22"/>
          <w:szCs w:val="22"/>
        </w:rPr>
        <w:t xml:space="preserve"> Lokacija objekta mora zagotavljati enostavno dostopnost</w:t>
      </w:r>
      <w:r>
        <w:rPr>
          <w:rFonts w:asciiTheme="minorHAnsi" w:hAnsiTheme="minorHAnsi" w:cstheme="minorHAnsi"/>
          <w:sz w:val="22"/>
          <w:szCs w:val="22"/>
        </w:rPr>
        <w:t xml:space="preserve"> ter možnost dostopa za invalide. </w:t>
      </w:r>
    </w:p>
    <w:p w14:paraId="599503CD" w14:textId="77777777" w:rsidR="00190D90" w:rsidRPr="00C830A6" w:rsidRDefault="00190D90" w:rsidP="00190D90">
      <w:pPr>
        <w:ind w:left="717"/>
        <w:jc w:val="both"/>
        <w:rPr>
          <w:rFonts w:asciiTheme="minorHAnsi" w:hAnsiTheme="minorHAnsi" w:cstheme="minorHAnsi"/>
          <w:sz w:val="22"/>
          <w:szCs w:val="22"/>
        </w:rPr>
      </w:pPr>
    </w:p>
    <w:p w14:paraId="44BFC7CF" w14:textId="77777777" w:rsidR="00190D90" w:rsidRPr="00C830A6" w:rsidRDefault="00190D90" w:rsidP="00190D90">
      <w:pPr>
        <w:numPr>
          <w:ilvl w:val="1"/>
          <w:numId w:val="2"/>
        </w:numPr>
        <w:ind w:left="717" w:hanging="357"/>
        <w:jc w:val="both"/>
        <w:rPr>
          <w:rFonts w:asciiTheme="minorHAnsi" w:hAnsiTheme="minorHAnsi" w:cstheme="minorHAnsi"/>
          <w:sz w:val="22"/>
          <w:szCs w:val="22"/>
        </w:rPr>
      </w:pPr>
      <w:r w:rsidRPr="00C830A6">
        <w:rPr>
          <w:rFonts w:asciiTheme="minorHAnsi" w:hAnsiTheme="minorHAnsi" w:cstheme="minorHAnsi"/>
          <w:sz w:val="22"/>
          <w:szCs w:val="22"/>
        </w:rPr>
        <w:t>Skladno z Uredbo o razvrščanju objektov (Ur. l. RS, št. 37/2018), morajo biti poslovni prostori v stavbi, po klasifikaciji objektov, uvrščeni med 1220 Poslovne in upravne stavbe.</w:t>
      </w:r>
    </w:p>
    <w:p w14:paraId="0C611F1A" w14:textId="77777777" w:rsidR="00190D90" w:rsidRPr="00C830A6" w:rsidRDefault="00190D90" w:rsidP="00190D90">
      <w:pPr>
        <w:ind w:left="717"/>
        <w:jc w:val="both"/>
        <w:rPr>
          <w:rFonts w:asciiTheme="minorHAnsi" w:hAnsiTheme="minorHAnsi" w:cstheme="minorHAnsi"/>
          <w:sz w:val="22"/>
          <w:szCs w:val="22"/>
        </w:rPr>
      </w:pPr>
    </w:p>
    <w:p w14:paraId="04F2E631" w14:textId="77777777" w:rsidR="00190D90" w:rsidRPr="00C830A6" w:rsidRDefault="00190D90" w:rsidP="00190D90">
      <w:pPr>
        <w:numPr>
          <w:ilvl w:val="1"/>
          <w:numId w:val="2"/>
        </w:numPr>
        <w:ind w:left="717" w:hanging="357"/>
        <w:jc w:val="both"/>
        <w:rPr>
          <w:rFonts w:asciiTheme="minorHAnsi" w:hAnsiTheme="minorHAnsi" w:cstheme="minorHAnsi"/>
          <w:sz w:val="22"/>
          <w:szCs w:val="22"/>
        </w:rPr>
      </w:pPr>
      <w:r w:rsidRPr="00C830A6">
        <w:rPr>
          <w:rFonts w:asciiTheme="minorHAnsi" w:hAnsiTheme="minorHAnsi" w:cstheme="minorHAnsi"/>
          <w:sz w:val="22"/>
          <w:szCs w:val="22"/>
        </w:rPr>
        <w:t>Poslovni prostori morajo imeti izdano uporabno dovoljenje za dejavnost, za katero so narejeni. Ponudnik mora predložiti uporabno dovoljenje ali drug ustrezen dokument, ki dokazuje, da imajo poslovni prostori pridobljeno uporabno dovoljenje.</w:t>
      </w:r>
    </w:p>
    <w:p w14:paraId="75758CB0" w14:textId="77777777" w:rsidR="00190D90" w:rsidRPr="00C830A6" w:rsidRDefault="00190D90" w:rsidP="00190D90">
      <w:pPr>
        <w:ind w:left="717"/>
        <w:jc w:val="both"/>
        <w:rPr>
          <w:rFonts w:asciiTheme="minorHAnsi" w:hAnsiTheme="minorHAnsi" w:cstheme="minorHAnsi"/>
          <w:sz w:val="22"/>
          <w:szCs w:val="22"/>
        </w:rPr>
      </w:pPr>
    </w:p>
    <w:p w14:paraId="39A32031" w14:textId="77777777" w:rsidR="00190D90" w:rsidRPr="00C830A6" w:rsidRDefault="00190D90" w:rsidP="00190D90">
      <w:pPr>
        <w:numPr>
          <w:ilvl w:val="1"/>
          <w:numId w:val="2"/>
        </w:numPr>
        <w:ind w:left="717" w:hanging="357"/>
        <w:jc w:val="both"/>
        <w:rPr>
          <w:rFonts w:asciiTheme="minorHAnsi" w:hAnsiTheme="minorHAnsi" w:cstheme="minorHAnsi"/>
          <w:sz w:val="22"/>
          <w:szCs w:val="22"/>
        </w:rPr>
      </w:pPr>
      <w:r w:rsidRPr="00C830A6">
        <w:rPr>
          <w:rFonts w:asciiTheme="minorHAnsi" w:hAnsiTheme="minorHAnsi" w:cstheme="minorHAnsi"/>
          <w:sz w:val="22"/>
          <w:szCs w:val="22"/>
        </w:rPr>
        <w:t>Za poslovne prostore mora biti izdelana energetska izkaznica. Skladno z Uredbo o upravljanju    z energijo v javnem sektorju (Ur. l. RS, št. 52/16).</w:t>
      </w:r>
    </w:p>
    <w:p w14:paraId="4216D323" w14:textId="77777777" w:rsidR="00190D90" w:rsidRPr="00C830A6" w:rsidRDefault="00190D90" w:rsidP="00190D90">
      <w:pPr>
        <w:jc w:val="both"/>
        <w:rPr>
          <w:rFonts w:asciiTheme="minorHAnsi" w:hAnsiTheme="minorHAnsi" w:cstheme="minorHAnsi"/>
          <w:sz w:val="22"/>
          <w:szCs w:val="22"/>
        </w:rPr>
      </w:pPr>
    </w:p>
    <w:p w14:paraId="00AECFAB" w14:textId="77777777" w:rsidR="00190D90" w:rsidRDefault="00190D90" w:rsidP="00190D90">
      <w:pPr>
        <w:numPr>
          <w:ilvl w:val="1"/>
          <w:numId w:val="2"/>
        </w:numPr>
        <w:ind w:left="717" w:hanging="357"/>
        <w:jc w:val="both"/>
        <w:rPr>
          <w:rFonts w:asciiTheme="minorHAnsi" w:hAnsiTheme="minorHAnsi" w:cstheme="minorHAnsi"/>
          <w:sz w:val="22"/>
          <w:szCs w:val="22"/>
        </w:rPr>
      </w:pPr>
      <w:r w:rsidRPr="00CA47C7">
        <w:rPr>
          <w:rFonts w:asciiTheme="minorHAnsi" w:hAnsiTheme="minorHAnsi" w:cstheme="minorHAnsi"/>
          <w:sz w:val="22"/>
          <w:szCs w:val="22"/>
        </w:rPr>
        <w:t xml:space="preserve">Poslovni prostori morajo biti klimatizirani/ hlajeni. </w:t>
      </w:r>
    </w:p>
    <w:p w14:paraId="4D618074" w14:textId="77777777" w:rsidR="00190D90" w:rsidRPr="00CA47C7" w:rsidRDefault="00190D90" w:rsidP="00190D90">
      <w:pPr>
        <w:jc w:val="both"/>
        <w:rPr>
          <w:rFonts w:asciiTheme="minorHAnsi" w:hAnsiTheme="minorHAnsi" w:cstheme="minorHAnsi"/>
          <w:sz w:val="22"/>
          <w:szCs w:val="22"/>
        </w:rPr>
      </w:pPr>
    </w:p>
    <w:p w14:paraId="3089B7DC" w14:textId="77777777" w:rsidR="00190D90" w:rsidRPr="00C830A6" w:rsidRDefault="00190D90" w:rsidP="00190D90">
      <w:pPr>
        <w:numPr>
          <w:ilvl w:val="1"/>
          <w:numId w:val="2"/>
        </w:numPr>
        <w:ind w:left="717" w:hanging="357"/>
        <w:jc w:val="both"/>
        <w:rPr>
          <w:rFonts w:asciiTheme="minorHAnsi" w:hAnsiTheme="minorHAnsi" w:cstheme="minorHAnsi"/>
          <w:sz w:val="22"/>
          <w:szCs w:val="22"/>
        </w:rPr>
      </w:pPr>
      <w:r w:rsidRPr="00C830A6">
        <w:rPr>
          <w:rFonts w:asciiTheme="minorHAnsi" w:hAnsiTheme="minorHAnsi" w:cstheme="minorHAnsi"/>
          <w:sz w:val="22"/>
          <w:szCs w:val="22"/>
        </w:rPr>
        <w:t xml:space="preserve">Upravljanje objekta in investicijsko vzdrževanje objekta mora zagotoviti lastnik objekta  oziroma ponudnik skladno z veljavno zakonodajo. </w:t>
      </w:r>
    </w:p>
    <w:p w14:paraId="2E5F506F" w14:textId="77777777" w:rsidR="00190D90" w:rsidRPr="00C830A6" w:rsidRDefault="00190D90" w:rsidP="00190D90">
      <w:pPr>
        <w:ind w:left="717"/>
        <w:jc w:val="both"/>
        <w:rPr>
          <w:rFonts w:asciiTheme="minorHAnsi" w:hAnsiTheme="minorHAnsi" w:cstheme="minorHAnsi"/>
          <w:sz w:val="22"/>
          <w:szCs w:val="22"/>
          <w:lang w:val="x-none"/>
        </w:rPr>
      </w:pPr>
    </w:p>
    <w:p w14:paraId="199D802D" w14:textId="77777777" w:rsidR="00190D90" w:rsidRPr="00C830A6" w:rsidRDefault="00190D90" w:rsidP="00190D90">
      <w:pPr>
        <w:numPr>
          <w:ilvl w:val="1"/>
          <w:numId w:val="2"/>
        </w:numPr>
        <w:ind w:left="717" w:hanging="357"/>
        <w:jc w:val="both"/>
        <w:rPr>
          <w:rFonts w:asciiTheme="minorHAnsi" w:hAnsiTheme="minorHAnsi" w:cstheme="minorHAnsi"/>
          <w:sz w:val="22"/>
          <w:szCs w:val="22"/>
        </w:rPr>
      </w:pPr>
      <w:r w:rsidRPr="00C830A6">
        <w:rPr>
          <w:rFonts w:asciiTheme="minorHAnsi" w:hAnsiTheme="minorHAnsi" w:cstheme="minorHAnsi"/>
          <w:sz w:val="22"/>
          <w:szCs w:val="22"/>
        </w:rPr>
        <w:t xml:space="preserve">Poslovni prostori se lahko nahajajo znotraj večje poslovne stavbe ali v samostojni poslovni stavbi. </w:t>
      </w:r>
    </w:p>
    <w:p w14:paraId="4A4B0D9F" w14:textId="77777777" w:rsidR="00190D90" w:rsidRPr="00C830A6" w:rsidRDefault="00190D90" w:rsidP="00190D90">
      <w:pPr>
        <w:jc w:val="both"/>
        <w:rPr>
          <w:rFonts w:asciiTheme="minorHAnsi" w:hAnsiTheme="minorHAnsi" w:cstheme="minorHAnsi"/>
          <w:sz w:val="22"/>
          <w:szCs w:val="22"/>
        </w:rPr>
      </w:pPr>
    </w:p>
    <w:p w14:paraId="3C566D58" w14:textId="77777777" w:rsidR="00190D90" w:rsidRDefault="00190D90" w:rsidP="00190D90">
      <w:pPr>
        <w:numPr>
          <w:ilvl w:val="1"/>
          <w:numId w:val="2"/>
        </w:numPr>
        <w:ind w:left="717" w:hanging="357"/>
        <w:jc w:val="both"/>
        <w:rPr>
          <w:rFonts w:asciiTheme="minorHAnsi" w:hAnsiTheme="minorHAnsi" w:cstheme="minorHAnsi"/>
          <w:sz w:val="22"/>
          <w:szCs w:val="22"/>
        </w:rPr>
      </w:pPr>
      <w:r w:rsidRPr="00251E89">
        <w:rPr>
          <w:rFonts w:asciiTheme="minorHAnsi" w:hAnsiTheme="minorHAnsi" w:cstheme="minorHAnsi"/>
          <w:sz w:val="22"/>
          <w:szCs w:val="22"/>
        </w:rPr>
        <w:t>V kolikor se prostori nahajajo v samostojni stavbi, mora biti omogočena umestitev celotnega programa. V kolikor so poslovni prostori znotraj večje poslovne stavbe, morajo biti umeščeni znotraj stavbe</w:t>
      </w:r>
      <w:r>
        <w:rPr>
          <w:rFonts w:asciiTheme="minorHAnsi" w:hAnsiTheme="minorHAnsi" w:cstheme="minorHAnsi"/>
          <w:sz w:val="22"/>
          <w:szCs w:val="22"/>
        </w:rPr>
        <w:t xml:space="preserve"> z izključno možnostjo uporabe zaposlenim NIJZ.</w:t>
      </w:r>
    </w:p>
    <w:p w14:paraId="5AADA7FA" w14:textId="77777777" w:rsidR="00190D90" w:rsidRDefault="00190D90" w:rsidP="00190D90">
      <w:pPr>
        <w:pStyle w:val="Odstavekseznama"/>
        <w:rPr>
          <w:rFonts w:asciiTheme="minorHAnsi" w:hAnsiTheme="minorHAnsi" w:cstheme="minorHAnsi"/>
          <w:sz w:val="22"/>
          <w:szCs w:val="22"/>
        </w:rPr>
      </w:pPr>
    </w:p>
    <w:p w14:paraId="531207F2" w14:textId="77777777" w:rsidR="00190D90" w:rsidRDefault="00190D90" w:rsidP="00190D90">
      <w:pPr>
        <w:numPr>
          <w:ilvl w:val="1"/>
          <w:numId w:val="2"/>
        </w:numPr>
        <w:ind w:left="717" w:hanging="357"/>
        <w:jc w:val="both"/>
        <w:rPr>
          <w:rFonts w:asciiTheme="minorHAnsi" w:hAnsiTheme="minorHAnsi" w:cstheme="minorHAnsi"/>
          <w:sz w:val="22"/>
          <w:szCs w:val="22"/>
        </w:rPr>
      </w:pPr>
      <w:r w:rsidRPr="00C830A6">
        <w:rPr>
          <w:rFonts w:asciiTheme="minorHAnsi" w:hAnsiTheme="minorHAnsi" w:cstheme="minorHAnsi"/>
          <w:sz w:val="22"/>
          <w:szCs w:val="22"/>
        </w:rPr>
        <w:lastRenderedPageBreak/>
        <w:t xml:space="preserve">Za poslovne prostore mora biti zagotovljen neoviran dostop, vstop in uporaba, skladno s Pravilnikom o zahtevah za zagotavljanje neoviranega dostopa, vstopa in uporabe objektov v javni rabi ter večstanovanjskih stavb (Ur. l. RS, št. </w:t>
      </w:r>
      <w:hyperlink r:id="rId7" w:tgtFrame="_blank" w:tooltip="Pravilnik o zahtevah za zagotavljanje neoviranega dostopa, vstopa in uporabe objektov v javni rabi ter večstanovanjskih stavb" w:history="1">
        <w:r w:rsidRPr="00C830A6">
          <w:rPr>
            <w:rFonts w:asciiTheme="minorHAnsi" w:hAnsiTheme="minorHAnsi" w:cstheme="minorHAnsi"/>
            <w:sz w:val="22"/>
            <w:szCs w:val="22"/>
          </w:rPr>
          <w:t>97/03</w:t>
        </w:r>
      </w:hyperlink>
      <w:r w:rsidRPr="00C830A6">
        <w:rPr>
          <w:rFonts w:asciiTheme="minorHAnsi" w:hAnsiTheme="minorHAnsi" w:cstheme="minorHAnsi"/>
          <w:sz w:val="22"/>
          <w:szCs w:val="22"/>
        </w:rPr>
        <w:t xml:space="preserve">, </w:t>
      </w:r>
      <w:hyperlink r:id="rId8" w:tgtFrame="_blank" w:tooltip="Zakon o prostorskem načrtovanju" w:history="1">
        <w:r w:rsidRPr="00C830A6">
          <w:rPr>
            <w:rFonts w:asciiTheme="minorHAnsi" w:hAnsiTheme="minorHAnsi" w:cstheme="minorHAnsi"/>
            <w:sz w:val="22"/>
            <w:szCs w:val="22"/>
          </w:rPr>
          <w:t>33/07</w:t>
        </w:r>
      </w:hyperlink>
      <w:r w:rsidRPr="00C830A6">
        <w:rPr>
          <w:rFonts w:asciiTheme="minorHAnsi" w:hAnsiTheme="minorHAnsi" w:cstheme="minorHAnsi"/>
          <w:sz w:val="22"/>
          <w:szCs w:val="22"/>
        </w:rPr>
        <w:t xml:space="preserve"> – ZPNačrt, </w:t>
      </w:r>
      <w:hyperlink r:id="rId9" w:tgtFrame="_blank" w:tooltip="Odločba o razveljavitvi 4. člena Pravilnika o zahtevah za zagotavljanje neoviranega dostopa, vstopa in uporabe objektov v javni rabi ter večstanovanjskih stavb" w:history="1">
        <w:r w:rsidRPr="00C830A6">
          <w:rPr>
            <w:rFonts w:asciiTheme="minorHAnsi" w:hAnsiTheme="minorHAnsi" w:cstheme="minorHAnsi"/>
            <w:sz w:val="22"/>
            <w:szCs w:val="22"/>
          </w:rPr>
          <w:t>77/09</w:t>
        </w:r>
      </w:hyperlink>
      <w:r w:rsidRPr="00C830A6">
        <w:rPr>
          <w:rFonts w:asciiTheme="minorHAnsi" w:hAnsiTheme="minorHAnsi" w:cstheme="minorHAnsi"/>
          <w:sz w:val="22"/>
          <w:szCs w:val="22"/>
        </w:rPr>
        <w:t xml:space="preserve"> – odl. US, </w:t>
      </w:r>
      <w:hyperlink r:id="rId10" w:tgtFrame="_blank" w:tooltip="Gradbeni zakon" w:history="1">
        <w:r w:rsidRPr="00C830A6">
          <w:rPr>
            <w:rFonts w:asciiTheme="minorHAnsi" w:hAnsiTheme="minorHAnsi" w:cstheme="minorHAnsi"/>
            <w:sz w:val="22"/>
            <w:szCs w:val="22"/>
          </w:rPr>
          <w:t>61/17</w:t>
        </w:r>
      </w:hyperlink>
      <w:r w:rsidRPr="00C830A6">
        <w:rPr>
          <w:rFonts w:asciiTheme="minorHAnsi" w:hAnsiTheme="minorHAnsi" w:cstheme="minorHAnsi"/>
          <w:sz w:val="22"/>
          <w:szCs w:val="22"/>
        </w:rPr>
        <w:t xml:space="preserve"> – GZ in </w:t>
      </w:r>
      <w:hyperlink r:id="rId11" w:tgtFrame="_blank" w:tooltip="Pravilnik o univerzalni graditvi in uporabi objektov" w:history="1">
        <w:r w:rsidRPr="00C830A6">
          <w:rPr>
            <w:rFonts w:asciiTheme="minorHAnsi" w:hAnsiTheme="minorHAnsi" w:cstheme="minorHAnsi"/>
            <w:sz w:val="22"/>
            <w:szCs w:val="22"/>
          </w:rPr>
          <w:t>41/18</w:t>
        </w:r>
      </w:hyperlink>
      <w:r w:rsidRPr="00C830A6">
        <w:rPr>
          <w:rFonts w:asciiTheme="minorHAnsi" w:hAnsiTheme="minorHAnsi" w:cstheme="minorHAnsi"/>
          <w:sz w:val="22"/>
          <w:szCs w:val="22"/>
        </w:rPr>
        <w:t>).</w:t>
      </w:r>
    </w:p>
    <w:p w14:paraId="75C7BEDB" w14:textId="77777777" w:rsidR="00190D90" w:rsidRPr="00272DD1" w:rsidRDefault="00190D90" w:rsidP="00190D90">
      <w:pPr>
        <w:jc w:val="both"/>
        <w:rPr>
          <w:rFonts w:asciiTheme="minorHAnsi" w:hAnsiTheme="minorHAnsi" w:cstheme="minorHAnsi"/>
          <w:sz w:val="22"/>
          <w:szCs w:val="22"/>
        </w:rPr>
      </w:pPr>
    </w:p>
    <w:p w14:paraId="0EF09B0F" w14:textId="07749A50" w:rsidR="00190D90" w:rsidRPr="00190D90" w:rsidRDefault="00190D90" w:rsidP="00190D90">
      <w:pPr>
        <w:numPr>
          <w:ilvl w:val="1"/>
          <w:numId w:val="2"/>
        </w:numPr>
        <w:ind w:left="717" w:hanging="357"/>
        <w:jc w:val="both"/>
        <w:rPr>
          <w:rFonts w:asciiTheme="minorHAnsi" w:hAnsiTheme="minorHAnsi" w:cstheme="minorHAnsi"/>
          <w:sz w:val="22"/>
          <w:szCs w:val="22"/>
        </w:rPr>
      </w:pPr>
      <w:r w:rsidRPr="00190D90">
        <w:rPr>
          <w:rFonts w:asciiTheme="minorHAnsi" w:hAnsiTheme="minorHAnsi" w:cstheme="minorHAnsi"/>
          <w:sz w:val="22"/>
          <w:szCs w:val="22"/>
        </w:rPr>
        <w:t>Sanitarije za ponujene poslovne prostore morajo biti razpoložljive naročniku</w:t>
      </w:r>
      <w:r>
        <w:rPr>
          <w:rFonts w:asciiTheme="minorHAnsi" w:hAnsiTheme="minorHAnsi" w:cstheme="minorHAnsi"/>
          <w:sz w:val="22"/>
          <w:szCs w:val="22"/>
        </w:rPr>
        <w:t xml:space="preserve"> </w:t>
      </w:r>
      <w:r w:rsidRPr="00190D90">
        <w:rPr>
          <w:rFonts w:asciiTheme="minorHAnsi" w:hAnsiTheme="minorHAnsi" w:cstheme="minorHAnsi"/>
          <w:sz w:val="22"/>
          <w:szCs w:val="22"/>
        </w:rPr>
        <w:t xml:space="preserve">V stavbi morajo biti zagotovljene sanitarije za funkcionalno ovirane osebe. </w:t>
      </w:r>
    </w:p>
    <w:p w14:paraId="3F795302" w14:textId="77777777" w:rsidR="00190D90" w:rsidRPr="00C830A6" w:rsidRDefault="00190D90" w:rsidP="00190D90">
      <w:pPr>
        <w:jc w:val="both"/>
        <w:rPr>
          <w:rFonts w:asciiTheme="minorHAnsi" w:hAnsiTheme="minorHAnsi" w:cstheme="minorHAnsi"/>
          <w:sz w:val="22"/>
          <w:szCs w:val="22"/>
          <w:u w:val="single"/>
        </w:rPr>
      </w:pPr>
    </w:p>
    <w:p w14:paraId="2C725549" w14:textId="77777777" w:rsidR="00190D90" w:rsidRPr="00196B7F" w:rsidRDefault="00190D90" w:rsidP="00190D90">
      <w:pPr>
        <w:numPr>
          <w:ilvl w:val="1"/>
          <w:numId w:val="2"/>
        </w:numPr>
        <w:ind w:left="714" w:hanging="357"/>
        <w:jc w:val="both"/>
        <w:outlineLvl w:val="0"/>
        <w:rPr>
          <w:rFonts w:asciiTheme="minorHAnsi" w:hAnsiTheme="minorHAnsi" w:cstheme="minorHAnsi"/>
          <w:sz w:val="22"/>
          <w:szCs w:val="22"/>
          <w:u w:val="single"/>
        </w:rPr>
      </w:pPr>
      <w:r w:rsidRPr="00196B7F">
        <w:rPr>
          <w:rFonts w:asciiTheme="minorHAnsi" w:hAnsiTheme="minorHAnsi" w:cstheme="minorHAnsi"/>
          <w:sz w:val="22"/>
          <w:szCs w:val="22"/>
          <w:u w:val="single"/>
        </w:rPr>
        <w:t xml:space="preserve">Ureditev prostorov: </w:t>
      </w:r>
    </w:p>
    <w:p w14:paraId="393E9807" w14:textId="77777777" w:rsidR="00190D90" w:rsidRPr="00C830A6" w:rsidRDefault="00190D90" w:rsidP="00190D90">
      <w:pPr>
        <w:ind w:left="57"/>
        <w:jc w:val="both"/>
        <w:rPr>
          <w:rFonts w:asciiTheme="minorHAnsi" w:hAnsiTheme="minorHAnsi" w:cstheme="minorHAnsi"/>
          <w:sz w:val="22"/>
          <w:szCs w:val="22"/>
        </w:rPr>
      </w:pPr>
      <w:r w:rsidRPr="00C830A6">
        <w:rPr>
          <w:rFonts w:asciiTheme="minorHAnsi" w:hAnsiTheme="minorHAnsi" w:cstheme="minorHAnsi"/>
          <w:sz w:val="22"/>
          <w:szCs w:val="22"/>
        </w:rPr>
        <w:t>Vsi poslovni prostori morajo biti na eni lokaciji in nad ni</w:t>
      </w:r>
      <w:r>
        <w:rPr>
          <w:rFonts w:asciiTheme="minorHAnsi" w:hAnsiTheme="minorHAnsi" w:cstheme="minorHAnsi"/>
          <w:sz w:val="22"/>
          <w:szCs w:val="22"/>
        </w:rPr>
        <w:t>vojem zemljišča</w:t>
      </w:r>
      <w:r w:rsidRPr="00C830A6">
        <w:rPr>
          <w:rFonts w:asciiTheme="minorHAnsi" w:hAnsiTheme="minorHAnsi" w:cstheme="minorHAnsi"/>
          <w:sz w:val="22"/>
          <w:szCs w:val="22"/>
        </w:rPr>
        <w:t xml:space="preserve">. Delovni prostori morajo biti podnevi praviloma osvetljeni z naravno svetlobo. </w:t>
      </w:r>
    </w:p>
    <w:p w14:paraId="315B1B76" w14:textId="77777777" w:rsidR="00190D90" w:rsidRDefault="00190D90" w:rsidP="00190D90">
      <w:pPr>
        <w:ind w:left="57"/>
        <w:jc w:val="both"/>
        <w:rPr>
          <w:rFonts w:asciiTheme="minorHAnsi" w:hAnsiTheme="minorHAnsi" w:cstheme="minorHAnsi"/>
          <w:sz w:val="22"/>
          <w:szCs w:val="22"/>
        </w:rPr>
      </w:pPr>
      <w:r w:rsidRPr="00C830A6">
        <w:rPr>
          <w:rFonts w:asciiTheme="minorHAnsi" w:hAnsiTheme="minorHAnsi" w:cstheme="minorHAnsi"/>
          <w:sz w:val="22"/>
          <w:szCs w:val="22"/>
        </w:rPr>
        <w:t>Ciljno število delovišč je</w:t>
      </w:r>
      <w:r>
        <w:rPr>
          <w:rFonts w:asciiTheme="minorHAnsi" w:hAnsiTheme="minorHAnsi" w:cstheme="minorHAnsi"/>
          <w:sz w:val="22"/>
          <w:szCs w:val="22"/>
        </w:rPr>
        <w:t xml:space="preserve"> od 22</w:t>
      </w:r>
      <w:r w:rsidRPr="00C830A6">
        <w:rPr>
          <w:rFonts w:asciiTheme="minorHAnsi" w:hAnsiTheme="minorHAnsi" w:cstheme="minorHAnsi"/>
          <w:sz w:val="22"/>
          <w:szCs w:val="22"/>
        </w:rPr>
        <w:t xml:space="preserve"> do </w:t>
      </w:r>
      <w:r>
        <w:rPr>
          <w:rFonts w:asciiTheme="minorHAnsi" w:hAnsiTheme="minorHAnsi" w:cstheme="minorHAnsi"/>
          <w:sz w:val="22"/>
          <w:szCs w:val="22"/>
        </w:rPr>
        <w:t>30</w:t>
      </w:r>
      <w:r w:rsidRPr="00C830A6">
        <w:rPr>
          <w:rFonts w:asciiTheme="minorHAnsi" w:hAnsiTheme="minorHAnsi" w:cstheme="minorHAnsi"/>
          <w:sz w:val="22"/>
          <w:szCs w:val="22"/>
        </w:rPr>
        <w:t xml:space="preserve">. </w:t>
      </w:r>
    </w:p>
    <w:p w14:paraId="16D67478" w14:textId="77777777" w:rsidR="00B44104" w:rsidRDefault="00B44104" w:rsidP="00190D90">
      <w:pPr>
        <w:ind w:left="57"/>
        <w:jc w:val="both"/>
        <w:rPr>
          <w:rFonts w:asciiTheme="minorHAnsi" w:hAnsiTheme="minorHAnsi" w:cstheme="minorHAnsi"/>
          <w:sz w:val="22"/>
          <w:szCs w:val="22"/>
        </w:rPr>
      </w:pPr>
    </w:p>
    <w:p w14:paraId="50933274" w14:textId="5968F1C6" w:rsidR="00B44104" w:rsidRPr="00C830A6" w:rsidRDefault="00B44104" w:rsidP="00190D90">
      <w:pPr>
        <w:ind w:left="57"/>
        <w:jc w:val="both"/>
        <w:rPr>
          <w:rFonts w:asciiTheme="minorHAnsi" w:hAnsiTheme="minorHAnsi" w:cstheme="minorHAnsi"/>
          <w:sz w:val="22"/>
          <w:szCs w:val="22"/>
        </w:rPr>
      </w:pPr>
      <w:r>
        <w:rPr>
          <w:rFonts w:asciiTheme="minorHAnsi" w:hAnsiTheme="minorHAnsi" w:cstheme="minorHAnsi"/>
          <w:sz w:val="22"/>
          <w:szCs w:val="22"/>
        </w:rPr>
        <w:t>Prostori morajo biti opremljeni s pisalnimi mizami.</w:t>
      </w:r>
    </w:p>
    <w:p w14:paraId="0F394C52" w14:textId="77777777" w:rsidR="00190D90" w:rsidRPr="00C830A6" w:rsidRDefault="00190D90" w:rsidP="00190D90">
      <w:pPr>
        <w:ind w:left="57"/>
        <w:jc w:val="both"/>
        <w:rPr>
          <w:rFonts w:asciiTheme="minorHAnsi" w:hAnsiTheme="minorHAnsi" w:cstheme="minorHAnsi"/>
          <w:sz w:val="22"/>
          <w:szCs w:val="22"/>
        </w:rPr>
      </w:pPr>
    </w:p>
    <w:p w14:paraId="2431A016" w14:textId="77777777" w:rsidR="00190D90" w:rsidRPr="00C830A6" w:rsidRDefault="00190D90" w:rsidP="00190D90">
      <w:pPr>
        <w:ind w:left="57"/>
        <w:jc w:val="both"/>
        <w:rPr>
          <w:rFonts w:asciiTheme="minorHAnsi" w:hAnsiTheme="minorHAnsi" w:cstheme="minorHAnsi"/>
          <w:sz w:val="22"/>
          <w:szCs w:val="22"/>
        </w:rPr>
      </w:pPr>
      <w:r w:rsidRPr="00C830A6">
        <w:rPr>
          <w:rFonts w:asciiTheme="minorHAnsi" w:hAnsiTheme="minorHAnsi" w:cstheme="minorHAnsi"/>
          <w:sz w:val="22"/>
          <w:szCs w:val="22"/>
        </w:rPr>
        <w:t>Ponudnik dovoljuje naročniku namestitev  lastne opreme v prostore, vključno z morebitnimi manjšimi posegi v prostore (optika, elektro in UTP instalacije, v kolikor še niso ustrezno urejene).</w:t>
      </w:r>
    </w:p>
    <w:p w14:paraId="1ED72B9C" w14:textId="77777777" w:rsidR="00190D90" w:rsidRDefault="00190D90" w:rsidP="00190D90">
      <w:pPr>
        <w:pStyle w:val="Telobesedila"/>
        <w:spacing w:after="0" w:line="240" w:lineRule="auto"/>
        <w:ind w:left="57"/>
        <w:jc w:val="both"/>
        <w:rPr>
          <w:rFonts w:asciiTheme="minorHAnsi" w:hAnsiTheme="minorHAnsi" w:cstheme="minorHAnsi"/>
          <w:sz w:val="22"/>
          <w:szCs w:val="22"/>
          <w:highlight w:val="yellow"/>
        </w:rPr>
      </w:pPr>
    </w:p>
    <w:p w14:paraId="11EC4DB0" w14:textId="77777777" w:rsidR="00190D90" w:rsidRPr="00C830A6" w:rsidRDefault="00190D90" w:rsidP="00190D90">
      <w:pPr>
        <w:pStyle w:val="Naslov1"/>
        <w:numPr>
          <w:ilvl w:val="0"/>
          <w:numId w:val="2"/>
        </w:numPr>
        <w:tabs>
          <w:tab w:val="num" w:pos="360"/>
        </w:tabs>
        <w:ind w:left="0" w:firstLine="0"/>
      </w:pPr>
      <w:r w:rsidRPr="00C830A6">
        <w:t>Velikost prostorov in pohištvena oprema</w:t>
      </w:r>
    </w:p>
    <w:p w14:paraId="316D07EB" w14:textId="77777777" w:rsidR="00190D90" w:rsidRPr="00C830A6" w:rsidRDefault="00190D90" w:rsidP="00190D90">
      <w:pPr>
        <w:pStyle w:val="Telobesedila"/>
        <w:spacing w:after="0" w:line="240" w:lineRule="auto"/>
        <w:ind w:left="360"/>
        <w:jc w:val="both"/>
        <w:rPr>
          <w:rFonts w:asciiTheme="minorHAnsi" w:hAnsiTheme="minorHAnsi" w:cstheme="minorHAnsi"/>
          <w:b/>
          <w:sz w:val="22"/>
          <w:szCs w:val="22"/>
        </w:rPr>
      </w:pPr>
    </w:p>
    <w:p w14:paraId="3ED597F1" w14:textId="77777777" w:rsidR="00190D90" w:rsidRPr="00C830A6" w:rsidRDefault="00190D90" w:rsidP="00190D90">
      <w:pPr>
        <w:pStyle w:val="Telobesedila"/>
        <w:spacing w:after="0" w:line="240" w:lineRule="auto"/>
        <w:jc w:val="both"/>
        <w:rPr>
          <w:rFonts w:asciiTheme="minorHAnsi" w:hAnsiTheme="minorHAnsi" w:cstheme="minorHAnsi"/>
          <w:sz w:val="22"/>
          <w:szCs w:val="22"/>
        </w:rPr>
      </w:pPr>
      <w:r w:rsidRPr="00C830A6">
        <w:rPr>
          <w:rFonts w:asciiTheme="minorHAnsi" w:hAnsiTheme="minorHAnsi" w:cstheme="minorHAnsi"/>
          <w:sz w:val="22"/>
          <w:szCs w:val="22"/>
        </w:rPr>
        <w:t xml:space="preserve">Ponudnik mora zagotavljati poslovne prostore za </w:t>
      </w:r>
      <w:r>
        <w:rPr>
          <w:rFonts w:asciiTheme="minorHAnsi" w:hAnsiTheme="minorHAnsi" w:cstheme="minorHAnsi"/>
          <w:sz w:val="22"/>
          <w:szCs w:val="22"/>
        </w:rPr>
        <w:t>od 22</w:t>
      </w:r>
      <w:r w:rsidRPr="00C830A6">
        <w:rPr>
          <w:rFonts w:asciiTheme="minorHAnsi" w:hAnsiTheme="minorHAnsi" w:cstheme="minorHAnsi"/>
          <w:sz w:val="22"/>
          <w:szCs w:val="22"/>
        </w:rPr>
        <w:t xml:space="preserve"> do </w:t>
      </w:r>
      <w:r>
        <w:rPr>
          <w:rFonts w:asciiTheme="minorHAnsi" w:hAnsiTheme="minorHAnsi" w:cstheme="minorHAnsi"/>
          <w:sz w:val="22"/>
          <w:szCs w:val="22"/>
        </w:rPr>
        <w:t>30</w:t>
      </w:r>
      <w:r w:rsidRPr="00C830A6">
        <w:rPr>
          <w:rFonts w:asciiTheme="minorHAnsi" w:hAnsiTheme="minorHAnsi" w:cstheme="minorHAnsi"/>
          <w:sz w:val="22"/>
          <w:szCs w:val="22"/>
        </w:rPr>
        <w:t xml:space="preserve"> delovišč (zaposlenih), ki izpolnjujejo naslednje prostorske pogoje:</w:t>
      </w:r>
    </w:p>
    <w:p w14:paraId="2332BCAA" w14:textId="77777777" w:rsidR="00190D90" w:rsidRPr="00C830A6" w:rsidRDefault="00190D90" w:rsidP="00190D90">
      <w:pPr>
        <w:pStyle w:val="Telobesedila"/>
        <w:numPr>
          <w:ilvl w:val="0"/>
          <w:numId w:val="3"/>
        </w:numPr>
        <w:spacing w:after="0" w:line="240" w:lineRule="auto"/>
        <w:jc w:val="both"/>
        <w:rPr>
          <w:rFonts w:asciiTheme="minorHAnsi" w:hAnsiTheme="minorHAnsi" w:cstheme="minorHAnsi"/>
          <w:sz w:val="22"/>
          <w:szCs w:val="22"/>
        </w:rPr>
      </w:pPr>
      <w:r w:rsidRPr="00C830A6">
        <w:rPr>
          <w:rFonts w:asciiTheme="minorHAnsi" w:hAnsiTheme="minorHAnsi" w:cstheme="minorHAnsi"/>
          <w:sz w:val="22"/>
          <w:szCs w:val="22"/>
        </w:rPr>
        <w:t xml:space="preserve">okvirna zahtevana skupna površina pisarniških prostorov, skupnih uporabniških prostorov kamor so všteti hodniki in skupne sanitarije </w:t>
      </w:r>
      <w:r>
        <w:rPr>
          <w:rFonts w:asciiTheme="minorHAnsi" w:hAnsiTheme="minorHAnsi" w:cstheme="minorHAnsi"/>
          <w:sz w:val="22"/>
          <w:szCs w:val="22"/>
        </w:rPr>
        <w:t>in poslovnih prostorov</w:t>
      </w:r>
      <w:r w:rsidRPr="00C830A6">
        <w:rPr>
          <w:rFonts w:asciiTheme="minorHAnsi" w:hAnsiTheme="minorHAnsi" w:cstheme="minorHAnsi"/>
          <w:sz w:val="22"/>
          <w:szCs w:val="22"/>
        </w:rPr>
        <w:t xml:space="preserve"> znaša </w:t>
      </w:r>
      <w:r>
        <w:rPr>
          <w:rFonts w:asciiTheme="minorHAnsi" w:hAnsiTheme="minorHAnsi" w:cstheme="minorHAnsi"/>
          <w:sz w:val="22"/>
          <w:szCs w:val="22"/>
        </w:rPr>
        <w:t>270- 300 m2.</w:t>
      </w:r>
    </w:p>
    <w:p w14:paraId="6C7C7D81" w14:textId="77777777" w:rsidR="00190D90" w:rsidRPr="00C830A6" w:rsidRDefault="00190D90" w:rsidP="00190D90">
      <w:pPr>
        <w:pStyle w:val="Telobesedila"/>
        <w:spacing w:after="0" w:line="240" w:lineRule="auto"/>
        <w:jc w:val="both"/>
        <w:rPr>
          <w:rFonts w:asciiTheme="minorHAnsi" w:hAnsiTheme="minorHAnsi" w:cstheme="minorHAnsi"/>
          <w:sz w:val="22"/>
          <w:szCs w:val="22"/>
          <w:highlight w:val="yellow"/>
        </w:rPr>
      </w:pPr>
    </w:p>
    <w:p w14:paraId="7EE79D18" w14:textId="77777777" w:rsidR="00190D90" w:rsidRPr="00C830A6" w:rsidRDefault="00190D90" w:rsidP="00190D90">
      <w:pPr>
        <w:pStyle w:val="Telobesedila"/>
        <w:spacing w:after="0" w:line="240" w:lineRule="auto"/>
        <w:jc w:val="both"/>
        <w:rPr>
          <w:rFonts w:asciiTheme="minorHAnsi" w:hAnsiTheme="minorHAnsi" w:cstheme="minorHAnsi"/>
          <w:sz w:val="22"/>
          <w:szCs w:val="22"/>
        </w:rPr>
      </w:pPr>
      <w:r w:rsidRPr="00C830A6">
        <w:rPr>
          <w:rFonts w:asciiTheme="minorHAnsi" w:hAnsiTheme="minorHAnsi" w:cstheme="minorHAnsi"/>
          <w:sz w:val="22"/>
          <w:szCs w:val="22"/>
        </w:rPr>
        <w:t>Možna odstopanja pri skupni uporabni površini so do 5% navzdol in do 15% navzgor.</w:t>
      </w:r>
    </w:p>
    <w:p w14:paraId="16829CD4" w14:textId="77777777" w:rsidR="00190D90" w:rsidRPr="00C830A6" w:rsidRDefault="00190D90" w:rsidP="00190D90">
      <w:pPr>
        <w:pStyle w:val="Telobesedila"/>
        <w:spacing w:after="0" w:line="240" w:lineRule="auto"/>
        <w:jc w:val="both"/>
        <w:rPr>
          <w:rFonts w:asciiTheme="minorHAnsi" w:hAnsiTheme="minorHAnsi" w:cstheme="minorHAnsi"/>
          <w:sz w:val="22"/>
          <w:szCs w:val="22"/>
        </w:rPr>
      </w:pPr>
    </w:p>
    <w:p w14:paraId="2BC73547" w14:textId="77777777" w:rsidR="00190D90" w:rsidRPr="00C830A6" w:rsidRDefault="00190D90" w:rsidP="00190D90">
      <w:pPr>
        <w:pStyle w:val="Telobesedila"/>
        <w:spacing w:after="0" w:line="240" w:lineRule="auto"/>
        <w:jc w:val="both"/>
        <w:rPr>
          <w:rFonts w:asciiTheme="minorHAnsi" w:hAnsiTheme="minorHAnsi" w:cstheme="minorHAnsi"/>
          <w:sz w:val="22"/>
          <w:szCs w:val="22"/>
        </w:rPr>
      </w:pPr>
      <w:r w:rsidRPr="00C830A6">
        <w:rPr>
          <w:rFonts w:asciiTheme="minorHAnsi" w:hAnsiTheme="minorHAnsi" w:cstheme="minorHAnsi"/>
          <w:sz w:val="22"/>
          <w:szCs w:val="22"/>
        </w:rPr>
        <w:t xml:space="preserve">V zgoraj navedenih površinah so zajete vse površine delovnih in drugih poslovnih prostorov in skupnih prostorov. Površina skupnih prostorov stavbe v ponudbi za najem ne sme biti zajeta, njihov najem oziroma souporaba mora biti zajeta v ceni </w:t>
      </w:r>
      <w:r>
        <w:rPr>
          <w:rFonts w:asciiTheme="minorHAnsi" w:hAnsiTheme="minorHAnsi" w:cstheme="minorHAnsi"/>
          <w:sz w:val="22"/>
          <w:szCs w:val="22"/>
        </w:rPr>
        <w:t xml:space="preserve">na </w:t>
      </w:r>
      <w:r w:rsidRPr="00C830A6">
        <w:rPr>
          <w:rFonts w:asciiTheme="minorHAnsi" w:hAnsiTheme="minorHAnsi" w:cstheme="minorHAnsi"/>
          <w:sz w:val="22"/>
          <w:szCs w:val="22"/>
        </w:rPr>
        <w:t xml:space="preserve">m2 poslovnih prostorov.    </w:t>
      </w:r>
    </w:p>
    <w:p w14:paraId="1453AA7B" w14:textId="77777777" w:rsidR="00190D90" w:rsidRPr="00C830A6" w:rsidRDefault="00190D90" w:rsidP="00190D90">
      <w:pPr>
        <w:jc w:val="both"/>
        <w:rPr>
          <w:rFonts w:asciiTheme="minorHAnsi" w:hAnsiTheme="minorHAnsi" w:cstheme="minorHAnsi"/>
          <w:sz w:val="22"/>
          <w:szCs w:val="22"/>
        </w:rPr>
      </w:pPr>
    </w:p>
    <w:p w14:paraId="68BFE14F" w14:textId="77777777" w:rsidR="00190D90" w:rsidRDefault="00190D90" w:rsidP="00190D90">
      <w:pPr>
        <w:jc w:val="both"/>
        <w:rPr>
          <w:rFonts w:asciiTheme="minorHAnsi" w:hAnsiTheme="minorHAnsi" w:cstheme="minorHAnsi"/>
          <w:sz w:val="22"/>
          <w:szCs w:val="22"/>
        </w:rPr>
      </w:pPr>
      <w:r w:rsidRPr="00C830A6">
        <w:rPr>
          <w:rFonts w:asciiTheme="minorHAnsi" w:hAnsiTheme="minorHAnsi" w:cstheme="minorHAnsi"/>
          <w:sz w:val="22"/>
          <w:szCs w:val="22"/>
        </w:rPr>
        <w:t xml:space="preserve">Ponudnik je naročniku dolžan poleg omenjenega </w:t>
      </w:r>
      <w:r>
        <w:rPr>
          <w:rFonts w:asciiTheme="minorHAnsi" w:hAnsiTheme="minorHAnsi" w:cstheme="minorHAnsi"/>
          <w:sz w:val="22"/>
          <w:szCs w:val="22"/>
        </w:rPr>
        <w:t>zagotoviti:</w:t>
      </w:r>
    </w:p>
    <w:p w14:paraId="24338F7C" w14:textId="77777777" w:rsidR="00190D90" w:rsidRPr="00C830A6" w:rsidRDefault="00190D90" w:rsidP="00190D90">
      <w:pPr>
        <w:jc w:val="both"/>
        <w:rPr>
          <w:rFonts w:asciiTheme="minorHAnsi" w:hAnsiTheme="minorHAnsi" w:cstheme="minorHAnsi"/>
          <w:sz w:val="22"/>
          <w:szCs w:val="22"/>
        </w:rPr>
      </w:pPr>
    </w:p>
    <w:p w14:paraId="69143E38" w14:textId="77777777" w:rsidR="00190D90" w:rsidRDefault="00190D90" w:rsidP="00190D90">
      <w:pPr>
        <w:numPr>
          <w:ilvl w:val="0"/>
          <w:numId w:val="4"/>
        </w:numPr>
        <w:shd w:val="clear" w:color="auto" w:fill="FFFFFF"/>
        <w:spacing w:line="408" w:lineRule="atLeast"/>
        <w:ind w:left="288"/>
        <w:jc w:val="both"/>
        <w:textAlignment w:val="baseline"/>
        <w:rPr>
          <w:rFonts w:asciiTheme="minorHAnsi" w:hAnsiTheme="minorHAnsi" w:cstheme="minorHAnsi"/>
          <w:sz w:val="22"/>
          <w:szCs w:val="22"/>
        </w:rPr>
      </w:pPr>
      <w:r>
        <w:rPr>
          <w:rFonts w:asciiTheme="minorHAnsi" w:hAnsiTheme="minorHAnsi" w:cstheme="minorHAnsi"/>
          <w:sz w:val="22"/>
          <w:szCs w:val="22"/>
        </w:rPr>
        <w:t>Sistemski prostor, ki vključuje s</w:t>
      </w:r>
      <w:r w:rsidRPr="00A93016">
        <w:rPr>
          <w:rFonts w:asciiTheme="minorHAnsi" w:hAnsiTheme="minorHAnsi" w:cstheme="minorHAnsi"/>
          <w:sz w:val="22"/>
          <w:szCs w:val="22"/>
        </w:rPr>
        <w:t>trežniške in komunikacijske omare</w:t>
      </w:r>
      <w:r>
        <w:rPr>
          <w:rFonts w:asciiTheme="minorHAnsi" w:hAnsiTheme="minorHAnsi" w:cstheme="minorHAnsi"/>
          <w:sz w:val="22"/>
          <w:szCs w:val="22"/>
        </w:rPr>
        <w:t>, ki upoštevajo zakonske zahteve glede požarne varnosti, z možnostjo vgraditve naročnikove komunikacijske opreme v skupni višini 8U</w:t>
      </w:r>
      <w:r w:rsidRPr="00A93016">
        <w:rPr>
          <w:rFonts w:asciiTheme="minorHAnsi" w:hAnsiTheme="minorHAnsi" w:cstheme="minorHAnsi"/>
          <w:sz w:val="22"/>
          <w:szCs w:val="22"/>
        </w:rPr>
        <w:t>.</w:t>
      </w:r>
    </w:p>
    <w:p w14:paraId="48A3D0B2" w14:textId="347FA4DA" w:rsidR="00190D90" w:rsidRDefault="00190D90" w:rsidP="00190D90">
      <w:pPr>
        <w:numPr>
          <w:ilvl w:val="0"/>
          <w:numId w:val="4"/>
        </w:numPr>
        <w:shd w:val="clear" w:color="auto" w:fill="FFFFFF"/>
        <w:spacing w:line="408" w:lineRule="atLeast"/>
        <w:ind w:left="288"/>
        <w:jc w:val="both"/>
        <w:textAlignment w:val="baseline"/>
        <w:rPr>
          <w:rFonts w:asciiTheme="minorHAnsi" w:hAnsiTheme="minorHAnsi" w:cstheme="minorHAnsi"/>
          <w:sz w:val="22"/>
          <w:szCs w:val="22"/>
        </w:rPr>
      </w:pPr>
      <w:r>
        <w:rPr>
          <w:rFonts w:asciiTheme="minorHAnsi" w:hAnsiTheme="minorHAnsi" w:cstheme="minorHAnsi"/>
          <w:sz w:val="22"/>
          <w:szCs w:val="22"/>
        </w:rPr>
        <w:t>Zagotovljeno napajanje komunikacijskega vozlišča z UPS napravami in avtomatskim priklopom na generator</w:t>
      </w:r>
      <w:r w:rsidR="00794CD4">
        <w:rPr>
          <w:rFonts w:asciiTheme="minorHAnsi" w:hAnsiTheme="minorHAnsi" w:cstheme="minorHAnsi"/>
          <w:sz w:val="22"/>
          <w:szCs w:val="22"/>
        </w:rPr>
        <w:t>.</w:t>
      </w:r>
    </w:p>
    <w:p w14:paraId="4F8A1B26" w14:textId="77777777" w:rsidR="00190D90" w:rsidRDefault="00190D90" w:rsidP="00190D90">
      <w:pPr>
        <w:numPr>
          <w:ilvl w:val="0"/>
          <w:numId w:val="4"/>
        </w:numPr>
        <w:shd w:val="clear" w:color="auto" w:fill="FFFFFF"/>
        <w:spacing w:line="408" w:lineRule="atLeast"/>
        <w:ind w:left="288"/>
        <w:jc w:val="both"/>
        <w:textAlignment w:val="baseline"/>
        <w:rPr>
          <w:rFonts w:asciiTheme="minorHAnsi" w:hAnsiTheme="minorHAnsi" w:cstheme="minorHAnsi"/>
          <w:sz w:val="22"/>
          <w:szCs w:val="22"/>
        </w:rPr>
      </w:pPr>
      <w:r>
        <w:rPr>
          <w:rFonts w:asciiTheme="minorHAnsi" w:hAnsiTheme="minorHAnsi" w:cstheme="minorHAnsi"/>
          <w:sz w:val="22"/>
          <w:szCs w:val="22"/>
        </w:rPr>
        <w:t>Dostop v poslovne prostore z brezstično kartico</w:t>
      </w:r>
    </w:p>
    <w:p w14:paraId="00405C85" w14:textId="77777777" w:rsidR="00190D90" w:rsidRDefault="00190D90" w:rsidP="00190D90">
      <w:pPr>
        <w:numPr>
          <w:ilvl w:val="0"/>
          <w:numId w:val="4"/>
        </w:numPr>
        <w:shd w:val="clear" w:color="auto" w:fill="FFFFFF"/>
        <w:spacing w:line="408" w:lineRule="atLeast"/>
        <w:ind w:left="288"/>
        <w:jc w:val="both"/>
        <w:textAlignment w:val="baseline"/>
        <w:rPr>
          <w:rFonts w:asciiTheme="minorHAnsi" w:hAnsiTheme="minorHAnsi" w:cstheme="minorHAnsi"/>
          <w:sz w:val="22"/>
          <w:szCs w:val="22"/>
        </w:rPr>
      </w:pPr>
      <w:r>
        <w:rPr>
          <w:rFonts w:asciiTheme="minorHAnsi" w:hAnsiTheme="minorHAnsi" w:cstheme="minorHAnsi"/>
          <w:sz w:val="22"/>
          <w:szCs w:val="22"/>
        </w:rPr>
        <w:t>Dostopnost UPS vtičnic v pisarnah</w:t>
      </w:r>
    </w:p>
    <w:p w14:paraId="402A1A61" w14:textId="77777777" w:rsidR="00190D90" w:rsidRPr="00A93016" w:rsidRDefault="00190D90" w:rsidP="00190D90">
      <w:pPr>
        <w:numPr>
          <w:ilvl w:val="0"/>
          <w:numId w:val="4"/>
        </w:numPr>
        <w:shd w:val="clear" w:color="auto" w:fill="FFFFFF"/>
        <w:spacing w:line="408" w:lineRule="atLeast"/>
        <w:ind w:left="288"/>
        <w:jc w:val="both"/>
        <w:textAlignment w:val="baseline"/>
        <w:rPr>
          <w:rFonts w:asciiTheme="minorHAnsi" w:hAnsiTheme="minorHAnsi" w:cstheme="minorHAnsi"/>
          <w:sz w:val="22"/>
          <w:szCs w:val="22"/>
        </w:rPr>
      </w:pPr>
      <w:r>
        <w:rPr>
          <w:rFonts w:asciiTheme="minorHAnsi" w:hAnsiTheme="minorHAnsi" w:cstheme="minorHAnsi"/>
          <w:sz w:val="22"/>
          <w:szCs w:val="22"/>
        </w:rPr>
        <w:t>24 urno varovanje</w:t>
      </w:r>
    </w:p>
    <w:p w14:paraId="2A42E0B2" w14:textId="77777777" w:rsidR="00190D90" w:rsidRPr="00C830A6" w:rsidRDefault="00190D90" w:rsidP="00190D90">
      <w:pPr>
        <w:pStyle w:val="Naslov1"/>
        <w:numPr>
          <w:ilvl w:val="0"/>
          <w:numId w:val="2"/>
        </w:numPr>
        <w:tabs>
          <w:tab w:val="num" w:pos="360"/>
        </w:tabs>
        <w:ind w:left="0" w:firstLine="0"/>
      </w:pPr>
      <w:r w:rsidRPr="00C830A6">
        <w:lastRenderedPageBreak/>
        <w:t>Kriteriji za izbor:</w:t>
      </w:r>
    </w:p>
    <w:p w14:paraId="62B2CC47" w14:textId="77777777" w:rsidR="00190D90" w:rsidRPr="00C830A6" w:rsidRDefault="00190D90" w:rsidP="00190D90">
      <w:pPr>
        <w:jc w:val="both"/>
        <w:rPr>
          <w:rFonts w:asciiTheme="minorHAnsi" w:hAnsiTheme="minorHAnsi" w:cstheme="minorHAnsi"/>
          <w:b/>
          <w:sz w:val="22"/>
          <w:szCs w:val="22"/>
        </w:rPr>
      </w:pPr>
    </w:p>
    <w:p w14:paraId="0053A1CE" w14:textId="77777777" w:rsidR="00190D90" w:rsidRPr="00C830A6" w:rsidRDefault="00190D90" w:rsidP="00190D90">
      <w:pPr>
        <w:jc w:val="both"/>
        <w:rPr>
          <w:rFonts w:asciiTheme="minorHAnsi" w:hAnsiTheme="minorHAnsi" w:cstheme="minorHAnsi"/>
          <w:sz w:val="22"/>
          <w:szCs w:val="22"/>
        </w:rPr>
      </w:pPr>
      <w:r w:rsidRPr="00C830A6">
        <w:rPr>
          <w:rFonts w:asciiTheme="minorHAnsi" w:hAnsiTheme="minorHAnsi" w:cstheme="minorHAnsi"/>
          <w:sz w:val="22"/>
          <w:szCs w:val="22"/>
        </w:rPr>
        <w:t xml:space="preserve">Edini kriterij za izbor ponudnika je cena poslovnih prostorov. </w:t>
      </w:r>
    </w:p>
    <w:p w14:paraId="2372FF6E" w14:textId="77777777" w:rsidR="00190D90" w:rsidRPr="00C830A6" w:rsidRDefault="00190D90" w:rsidP="00190D90">
      <w:pPr>
        <w:jc w:val="both"/>
        <w:rPr>
          <w:rFonts w:asciiTheme="minorHAnsi" w:hAnsiTheme="minorHAnsi" w:cstheme="minorHAnsi"/>
          <w:sz w:val="22"/>
          <w:szCs w:val="22"/>
        </w:rPr>
      </w:pPr>
    </w:p>
    <w:p w14:paraId="0DBDDD28" w14:textId="77777777" w:rsidR="00190D90" w:rsidRDefault="00190D90" w:rsidP="00190D90">
      <w:pPr>
        <w:spacing w:line="260" w:lineRule="exact"/>
        <w:jc w:val="both"/>
        <w:rPr>
          <w:rFonts w:asciiTheme="minorHAnsi" w:hAnsiTheme="minorHAnsi" w:cstheme="minorHAnsi"/>
          <w:sz w:val="22"/>
          <w:szCs w:val="22"/>
        </w:rPr>
      </w:pPr>
      <w:r w:rsidRPr="00F77DF0">
        <w:rPr>
          <w:rFonts w:asciiTheme="minorHAnsi" w:hAnsiTheme="minorHAnsi" w:cstheme="minorHAnsi"/>
          <w:sz w:val="22"/>
          <w:szCs w:val="22"/>
        </w:rPr>
        <w:t xml:space="preserve">Obratovalni stroški </w:t>
      </w:r>
      <w:r>
        <w:rPr>
          <w:rFonts w:asciiTheme="minorHAnsi" w:hAnsiTheme="minorHAnsi" w:cstheme="minorHAnsi"/>
          <w:sz w:val="22"/>
          <w:szCs w:val="22"/>
        </w:rPr>
        <w:t>(</w:t>
      </w:r>
      <w:r w:rsidRPr="00F77DF0">
        <w:rPr>
          <w:rFonts w:asciiTheme="minorHAnsi" w:hAnsiTheme="minorHAnsi" w:cstheme="minorHAnsi"/>
          <w:sz w:val="22"/>
          <w:szCs w:val="22"/>
        </w:rPr>
        <w:t>stroški električne energije, porabe vode, kanalščine, odvoza smeti, ogrevanja in hlajenja</w:t>
      </w:r>
      <w:r>
        <w:rPr>
          <w:rFonts w:asciiTheme="minorHAnsi" w:hAnsiTheme="minorHAnsi" w:cstheme="minorHAnsi"/>
          <w:sz w:val="22"/>
          <w:szCs w:val="22"/>
        </w:rPr>
        <w:t>, varovanja, čiščenja skupnih prostorov, papirno sanitarne konfekcije morajo biti zajeti v ponudbeni ceni).  Stroški čiščenja najetih prostorov</w:t>
      </w:r>
      <w:r w:rsidRPr="00C7786C">
        <w:rPr>
          <w:rFonts w:asciiTheme="minorHAnsi" w:hAnsiTheme="minorHAnsi" w:cstheme="minorHAnsi"/>
          <w:sz w:val="22"/>
          <w:szCs w:val="22"/>
        </w:rPr>
        <w:t xml:space="preserve"> </w:t>
      </w:r>
      <w:r>
        <w:rPr>
          <w:rFonts w:asciiTheme="minorHAnsi" w:hAnsiTheme="minorHAnsi" w:cstheme="minorHAnsi"/>
          <w:sz w:val="22"/>
          <w:szCs w:val="22"/>
        </w:rPr>
        <w:t xml:space="preserve">in stroški telekomunikacijskih storitev, kot so telefon in internet) bremenijo naročnika. </w:t>
      </w:r>
    </w:p>
    <w:p w14:paraId="47DA0040" w14:textId="77777777" w:rsidR="00190D90" w:rsidRPr="00C830A6" w:rsidRDefault="00190D90" w:rsidP="00190D90">
      <w:pPr>
        <w:pStyle w:val="Telobesedila"/>
        <w:spacing w:after="0" w:line="240" w:lineRule="auto"/>
        <w:jc w:val="both"/>
        <w:rPr>
          <w:rFonts w:asciiTheme="minorHAnsi" w:hAnsiTheme="minorHAnsi" w:cstheme="minorHAnsi"/>
          <w:sz w:val="22"/>
          <w:szCs w:val="22"/>
        </w:rPr>
      </w:pPr>
    </w:p>
    <w:p w14:paraId="11488459" w14:textId="77777777" w:rsidR="00190D90" w:rsidRPr="00C830A6" w:rsidRDefault="00190D90" w:rsidP="00190D90">
      <w:pPr>
        <w:pStyle w:val="Telobesedila"/>
        <w:spacing w:after="0" w:line="240" w:lineRule="auto"/>
        <w:jc w:val="both"/>
        <w:rPr>
          <w:rFonts w:asciiTheme="minorHAnsi" w:hAnsiTheme="minorHAnsi" w:cstheme="minorHAnsi"/>
          <w:sz w:val="22"/>
          <w:szCs w:val="22"/>
        </w:rPr>
      </w:pPr>
      <w:r w:rsidRPr="00C830A6">
        <w:rPr>
          <w:rFonts w:asciiTheme="minorHAnsi" w:hAnsiTheme="minorHAnsi" w:cstheme="minorHAnsi"/>
          <w:sz w:val="22"/>
          <w:szCs w:val="22"/>
        </w:rPr>
        <w:t>Stroški zavarovanja celotnega objekta vključno z osnovnim požarnim zavarovanjem bremenijo ponudnika.</w:t>
      </w:r>
    </w:p>
    <w:p w14:paraId="260A0FCB" w14:textId="77777777" w:rsidR="00190D90" w:rsidRPr="00C830A6" w:rsidRDefault="00190D90" w:rsidP="00190D90">
      <w:pPr>
        <w:pStyle w:val="Naslov1"/>
        <w:numPr>
          <w:ilvl w:val="0"/>
          <w:numId w:val="2"/>
        </w:numPr>
        <w:tabs>
          <w:tab w:val="num" w:pos="360"/>
        </w:tabs>
        <w:ind w:left="0" w:firstLine="0"/>
      </w:pPr>
      <w:r w:rsidRPr="00C830A6">
        <w:t>Ponudbena cena:</w:t>
      </w:r>
    </w:p>
    <w:p w14:paraId="6B0CA0D5" w14:textId="77777777" w:rsidR="00190D90" w:rsidRPr="00C830A6" w:rsidRDefault="00190D90" w:rsidP="00190D90">
      <w:pPr>
        <w:jc w:val="both"/>
        <w:rPr>
          <w:rFonts w:asciiTheme="minorHAnsi" w:hAnsiTheme="minorHAnsi" w:cstheme="minorHAnsi"/>
          <w:b/>
          <w:sz w:val="22"/>
          <w:szCs w:val="22"/>
        </w:rPr>
      </w:pPr>
    </w:p>
    <w:p w14:paraId="5E82ED29" w14:textId="06006542" w:rsidR="00190D90" w:rsidRDefault="00190D90" w:rsidP="00190D90">
      <w:pPr>
        <w:jc w:val="both"/>
        <w:rPr>
          <w:rFonts w:asciiTheme="minorHAnsi" w:hAnsiTheme="minorHAnsi" w:cstheme="minorHAnsi"/>
          <w:sz w:val="22"/>
          <w:szCs w:val="22"/>
        </w:rPr>
      </w:pPr>
      <w:r w:rsidRPr="00C830A6">
        <w:rPr>
          <w:rFonts w:asciiTheme="minorHAnsi" w:hAnsiTheme="minorHAnsi" w:cstheme="minorHAnsi"/>
          <w:sz w:val="22"/>
          <w:szCs w:val="22"/>
        </w:rPr>
        <w:t xml:space="preserve">Ponudbena cena ne sme presegati </w:t>
      </w:r>
      <w:r>
        <w:rPr>
          <w:rFonts w:asciiTheme="minorHAnsi" w:hAnsiTheme="minorHAnsi" w:cstheme="minorHAnsi"/>
          <w:sz w:val="22"/>
          <w:szCs w:val="22"/>
        </w:rPr>
        <w:t>18</w:t>
      </w:r>
      <w:r w:rsidRPr="00C830A6">
        <w:rPr>
          <w:rFonts w:asciiTheme="minorHAnsi" w:hAnsiTheme="minorHAnsi" w:cstheme="minorHAnsi"/>
          <w:sz w:val="22"/>
          <w:szCs w:val="22"/>
        </w:rPr>
        <w:t>€/m2</w:t>
      </w:r>
      <w:r>
        <w:rPr>
          <w:rFonts w:asciiTheme="minorHAnsi" w:hAnsiTheme="minorHAnsi" w:cstheme="minorHAnsi"/>
          <w:sz w:val="22"/>
          <w:szCs w:val="22"/>
        </w:rPr>
        <w:t>.</w:t>
      </w:r>
      <w:r w:rsidR="00794CD4">
        <w:rPr>
          <w:rFonts w:asciiTheme="minorHAnsi" w:hAnsiTheme="minorHAnsi" w:cstheme="minorHAnsi"/>
          <w:sz w:val="22"/>
          <w:szCs w:val="22"/>
        </w:rPr>
        <w:t xml:space="preserve"> Površina hodnika ne sme presegati 40m2.</w:t>
      </w:r>
    </w:p>
    <w:p w14:paraId="5FD11961" w14:textId="77777777" w:rsidR="00190D90" w:rsidRDefault="00190D90" w:rsidP="00190D90">
      <w:pPr>
        <w:jc w:val="both"/>
        <w:rPr>
          <w:rFonts w:asciiTheme="minorHAnsi" w:hAnsiTheme="minorHAnsi" w:cstheme="minorHAnsi"/>
          <w:sz w:val="22"/>
          <w:szCs w:val="22"/>
        </w:rPr>
      </w:pPr>
    </w:p>
    <w:p w14:paraId="73C7961F" w14:textId="77777777" w:rsidR="00190D90" w:rsidRDefault="00190D90" w:rsidP="00190D90">
      <w:pPr>
        <w:jc w:val="both"/>
        <w:rPr>
          <w:rFonts w:asciiTheme="minorHAnsi" w:hAnsiTheme="minorHAnsi" w:cstheme="minorHAnsi"/>
          <w:sz w:val="22"/>
          <w:szCs w:val="22"/>
        </w:rPr>
      </w:pPr>
    </w:p>
    <w:p w14:paraId="4AD71514" w14:textId="77777777" w:rsidR="00190D90" w:rsidRDefault="00190D90" w:rsidP="00190D90">
      <w:pPr>
        <w:jc w:val="both"/>
        <w:rPr>
          <w:rFonts w:asciiTheme="minorHAnsi" w:hAnsiTheme="minorHAnsi" w:cstheme="minorHAnsi"/>
          <w:sz w:val="22"/>
          <w:szCs w:val="22"/>
        </w:rPr>
      </w:pPr>
      <w:r>
        <w:rPr>
          <w:rFonts w:asciiTheme="minorHAnsi" w:hAnsiTheme="minorHAnsi" w:cstheme="minorHAnsi"/>
          <w:sz w:val="22"/>
          <w:szCs w:val="22"/>
        </w:rPr>
        <w:t>Ponudbeni predračun:</w:t>
      </w:r>
    </w:p>
    <w:p w14:paraId="385076CF" w14:textId="77777777" w:rsidR="00190D90" w:rsidRDefault="00190D90" w:rsidP="00190D90">
      <w:pPr>
        <w:jc w:val="both"/>
        <w:rPr>
          <w:rFonts w:asciiTheme="minorHAnsi" w:hAnsiTheme="minorHAnsi" w:cstheme="minorHAnsi"/>
          <w:sz w:val="22"/>
          <w:szCs w:val="22"/>
        </w:rPr>
      </w:pPr>
    </w:p>
    <w:tbl>
      <w:tblPr>
        <w:tblStyle w:val="Tabelamrea"/>
        <w:tblW w:w="0" w:type="auto"/>
        <w:tblLook w:val="04A0" w:firstRow="1" w:lastRow="0" w:firstColumn="1" w:lastColumn="0" w:noHBand="0" w:noVBand="1"/>
      </w:tblPr>
      <w:tblGrid>
        <w:gridCol w:w="2265"/>
        <w:gridCol w:w="2265"/>
        <w:gridCol w:w="2265"/>
        <w:gridCol w:w="2266"/>
      </w:tblGrid>
      <w:tr w:rsidR="00190D90" w14:paraId="04C1CC6B" w14:textId="77777777" w:rsidTr="002A178E">
        <w:tc>
          <w:tcPr>
            <w:tcW w:w="2265" w:type="dxa"/>
          </w:tcPr>
          <w:p w14:paraId="01EAB52D" w14:textId="77777777" w:rsidR="00190D90" w:rsidRDefault="00190D90" w:rsidP="002A178E">
            <w:pPr>
              <w:jc w:val="both"/>
              <w:rPr>
                <w:rFonts w:asciiTheme="minorHAnsi" w:hAnsiTheme="minorHAnsi" w:cstheme="minorHAnsi"/>
                <w:sz w:val="22"/>
                <w:szCs w:val="22"/>
              </w:rPr>
            </w:pPr>
            <w:r>
              <w:rPr>
                <w:rFonts w:asciiTheme="minorHAnsi" w:hAnsiTheme="minorHAnsi" w:cstheme="minorHAnsi"/>
                <w:sz w:val="22"/>
                <w:szCs w:val="22"/>
              </w:rPr>
              <w:t xml:space="preserve">Poslovni prostori  </w:t>
            </w:r>
          </w:p>
        </w:tc>
        <w:tc>
          <w:tcPr>
            <w:tcW w:w="2265" w:type="dxa"/>
          </w:tcPr>
          <w:p w14:paraId="243527E3" w14:textId="77777777" w:rsidR="00190D90" w:rsidRDefault="00190D90" w:rsidP="002A178E">
            <w:pPr>
              <w:rPr>
                <w:rFonts w:asciiTheme="minorHAnsi" w:hAnsiTheme="minorHAnsi" w:cstheme="minorHAnsi"/>
                <w:sz w:val="22"/>
                <w:szCs w:val="22"/>
              </w:rPr>
            </w:pPr>
            <w:r>
              <w:rPr>
                <w:rFonts w:asciiTheme="minorHAnsi" w:hAnsiTheme="minorHAnsi" w:cstheme="minorHAnsi"/>
                <w:sz w:val="22"/>
                <w:szCs w:val="22"/>
              </w:rPr>
              <w:t>Velikost poslovnih prostorov m2</w:t>
            </w:r>
          </w:p>
        </w:tc>
        <w:tc>
          <w:tcPr>
            <w:tcW w:w="2265" w:type="dxa"/>
          </w:tcPr>
          <w:p w14:paraId="2647ED36" w14:textId="77777777" w:rsidR="00190D90" w:rsidRDefault="00190D90" w:rsidP="002A178E">
            <w:pPr>
              <w:rPr>
                <w:rFonts w:asciiTheme="minorHAnsi" w:hAnsiTheme="minorHAnsi" w:cstheme="minorHAnsi"/>
                <w:sz w:val="22"/>
                <w:szCs w:val="22"/>
              </w:rPr>
            </w:pPr>
            <w:r>
              <w:rPr>
                <w:rFonts w:asciiTheme="minorHAnsi" w:hAnsiTheme="minorHAnsi" w:cstheme="minorHAnsi"/>
                <w:sz w:val="22"/>
                <w:szCs w:val="22"/>
              </w:rPr>
              <w:t>Ponudbena cena na m2</w:t>
            </w:r>
          </w:p>
        </w:tc>
        <w:tc>
          <w:tcPr>
            <w:tcW w:w="2266" w:type="dxa"/>
          </w:tcPr>
          <w:p w14:paraId="3063EE82" w14:textId="77777777" w:rsidR="00190D90" w:rsidRDefault="00190D90" w:rsidP="002A178E">
            <w:pPr>
              <w:rPr>
                <w:rFonts w:asciiTheme="minorHAnsi" w:hAnsiTheme="minorHAnsi" w:cstheme="minorHAnsi"/>
                <w:sz w:val="22"/>
                <w:szCs w:val="22"/>
              </w:rPr>
            </w:pPr>
            <w:r>
              <w:rPr>
                <w:rFonts w:asciiTheme="minorHAnsi" w:hAnsiTheme="minorHAnsi" w:cstheme="minorHAnsi"/>
                <w:sz w:val="22"/>
                <w:szCs w:val="22"/>
              </w:rPr>
              <w:t>Ponudbena cena skupaj</w:t>
            </w:r>
          </w:p>
        </w:tc>
      </w:tr>
      <w:tr w:rsidR="00190D90" w14:paraId="03A42410" w14:textId="77777777" w:rsidTr="002A178E">
        <w:tc>
          <w:tcPr>
            <w:tcW w:w="2265" w:type="dxa"/>
          </w:tcPr>
          <w:p w14:paraId="19CBDA86" w14:textId="77777777" w:rsidR="00190D90" w:rsidRDefault="00190D90" w:rsidP="002A178E">
            <w:pPr>
              <w:jc w:val="both"/>
              <w:rPr>
                <w:rFonts w:asciiTheme="minorHAnsi" w:hAnsiTheme="minorHAnsi" w:cstheme="minorHAnsi"/>
                <w:sz w:val="22"/>
                <w:szCs w:val="22"/>
              </w:rPr>
            </w:pPr>
          </w:p>
        </w:tc>
        <w:tc>
          <w:tcPr>
            <w:tcW w:w="2265" w:type="dxa"/>
          </w:tcPr>
          <w:p w14:paraId="3C8AFC41" w14:textId="77777777" w:rsidR="00190D90" w:rsidRDefault="00190D90" w:rsidP="002A178E">
            <w:pPr>
              <w:jc w:val="both"/>
              <w:rPr>
                <w:rFonts w:asciiTheme="minorHAnsi" w:hAnsiTheme="minorHAnsi" w:cstheme="minorHAnsi"/>
                <w:sz w:val="22"/>
                <w:szCs w:val="22"/>
              </w:rPr>
            </w:pPr>
          </w:p>
        </w:tc>
        <w:tc>
          <w:tcPr>
            <w:tcW w:w="2265" w:type="dxa"/>
          </w:tcPr>
          <w:p w14:paraId="3AFC1E95" w14:textId="77777777" w:rsidR="00190D90" w:rsidRDefault="00190D90" w:rsidP="002A178E">
            <w:pPr>
              <w:jc w:val="both"/>
              <w:rPr>
                <w:rFonts w:asciiTheme="minorHAnsi" w:hAnsiTheme="minorHAnsi" w:cstheme="minorHAnsi"/>
                <w:sz w:val="22"/>
                <w:szCs w:val="22"/>
              </w:rPr>
            </w:pPr>
          </w:p>
        </w:tc>
        <w:tc>
          <w:tcPr>
            <w:tcW w:w="2266" w:type="dxa"/>
          </w:tcPr>
          <w:p w14:paraId="752E1337" w14:textId="77777777" w:rsidR="00190D90" w:rsidRDefault="00190D90" w:rsidP="002A178E">
            <w:pPr>
              <w:jc w:val="both"/>
              <w:rPr>
                <w:rFonts w:asciiTheme="minorHAnsi" w:hAnsiTheme="minorHAnsi" w:cstheme="minorHAnsi"/>
                <w:sz w:val="22"/>
                <w:szCs w:val="22"/>
              </w:rPr>
            </w:pPr>
          </w:p>
        </w:tc>
      </w:tr>
    </w:tbl>
    <w:p w14:paraId="4B082FB0" w14:textId="77777777" w:rsidR="00190D90" w:rsidRDefault="00190D90" w:rsidP="00190D90">
      <w:pPr>
        <w:jc w:val="both"/>
        <w:rPr>
          <w:rFonts w:asciiTheme="minorHAnsi" w:hAnsiTheme="minorHAnsi" w:cstheme="minorHAnsi"/>
          <w:sz w:val="22"/>
          <w:szCs w:val="22"/>
        </w:rPr>
      </w:pPr>
    </w:p>
    <w:p w14:paraId="141A3D6B" w14:textId="77777777" w:rsidR="00190D90" w:rsidRPr="00C830A6" w:rsidRDefault="00190D90" w:rsidP="00190D90">
      <w:pPr>
        <w:jc w:val="both"/>
        <w:rPr>
          <w:rFonts w:asciiTheme="minorHAnsi" w:hAnsiTheme="minorHAnsi" w:cstheme="minorHAnsi"/>
          <w:sz w:val="22"/>
          <w:szCs w:val="22"/>
        </w:rPr>
      </w:pPr>
    </w:p>
    <w:p w14:paraId="4DB2FA7A" w14:textId="77777777" w:rsidR="00190D90" w:rsidRPr="00C830A6" w:rsidRDefault="00190D90" w:rsidP="00190D90">
      <w:pPr>
        <w:pStyle w:val="Telobesedila"/>
        <w:spacing w:after="0" w:line="240" w:lineRule="auto"/>
        <w:jc w:val="both"/>
        <w:rPr>
          <w:rFonts w:asciiTheme="minorHAnsi" w:hAnsiTheme="minorHAnsi" w:cstheme="minorHAnsi"/>
          <w:sz w:val="22"/>
          <w:szCs w:val="22"/>
        </w:rPr>
      </w:pPr>
    </w:p>
    <w:p w14:paraId="663FF488" w14:textId="77777777" w:rsidR="00190D90" w:rsidRPr="00C830A6" w:rsidRDefault="00190D90" w:rsidP="00190D90">
      <w:pPr>
        <w:pStyle w:val="Telobesedila"/>
        <w:spacing w:after="0" w:line="240" w:lineRule="auto"/>
        <w:jc w:val="both"/>
        <w:rPr>
          <w:rFonts w:asciiTheme="minorHAnsi" w:hAnsiTheme="minorHAnsi" w:cstheme="minorHAnsi"/>
          <w:sz w:val="22"/>
          <w:szCs w:val="22"/>
        </w:rPr>
      </w:pPr>
      <w:r w:rsidRPr="00C830A6">
        <w:rPr>
          <w:rFonts w:asciiTheme="minorHAnsi" w:hAnsiTheme="minorHAnsi" w:cstheme="minorHAnsi"/>
          <w:sz w:val="22"/>
          <w:szCs w:val="22"/>
        </w:rPr>
        <w:t>Vse cene morajo biti brez DDV. Na podlagi 44. člena Zakona o davku na dodano vrednost se za najem nepremičnin ne obračunava DDV.</w:t>
      </w:r>
    </w:p>
    <w:p w14:paraId="3E94F9EC" w14:textId="77777777" w:rsidR="00190D90" w:rsidRPr="00C830A6" w:rsidRDefault="00190D90" w:rsidP="00190D90">
      <w:pPr>
        <w:pStyle w:val="Telobesedila"/>
        <w:spacing w:after="0" w:line="240" w:lineRule="auto"/>
        <w:jc w:val="both"/>
        <w:rPr>
          <w:rFonts w:asciiTheme="minorHAnsi" w:hAnsiTheme="minorHAnsi" w:cstheme="minorHAnsi"/>
          <w:sz w:val="22"/>
          <w:szCs w:val="22"/>
        </w:rPr>
      </w:pPr>
    </w:p>
    <w:p w14:paraId="74449784" w14:textId="77777777" w:rsidR="00190D90" w:rsidRPr="00C830A6" w:rsidRDefault="00190D90" w:rsidP="00190D90">
      <w:pPr>
        <w:jc w:val="both"/>
        <w:rPr>
          <w:rFonts w:asciiTheme="minorHAnsi" w:hAnsiTheme="minorHAnsi" w:cstheme="minorHAnsi"/>
          <w:sz w:val="22"/>
          <w:szCs w:val="22"/>
        </w:rPr>
      </w:pPr>
    </w:p>
    <w:p w14:paraId="0675996B" w14:textId="77777777" w:rsidR="00190D90" w:rsidRPr="00C830A6" w:rsidRDefault="00190D90" w:rsidP="00190D90">
      <w:pPr>
        <w:pStyle w:val="Naslov1"/>
        <w:numPr>
          <w:ilvl w:val="0"/>
          <w:numId w:val="2"/>
        </w:numPr>
        <w:tabs>
          <w:tab w:val="num" w:pos="360"/>
        </w:tabs>
        <w:ind w:left="0" w:firstLine="0"/>
      </w:pPr>
      <w:r w:rsidRPr="00C830A6">
        <w:t>Dokazila, ki jih mora ponudnik predložiti k ponudbi:</w:t>
      </w:r>
    </w:p>
    <w:p w14:paraId="688B5817" w14:textId="77777777" w:rsidR="00190D90" w:rsidRPr="00C830A6" w:rsidRDefault="00190D90" w:rsidP="00190D90">
      <w:pPr>
        <w:ind w:left="360"/>
        <w:jc w:val="both"/>
        <w:rPr>
          <w:rFonts w:asciiTheme="minorHAnsi" w:hAnsiTheme="minorHAnsi" w:cstheme="minorHAnsi"/>
          <w:sz w:val="22"/>
          <w:szCs w:val="22"/>
        </w:rPr>
      </w:pPr>
    </w:p>
    <w:p w14:paraId="44BF495D" w14:textId="77777777" w:rsidR="00190D90" w:rsidRPr="00C830A6" w:rsidRDefault="00190D90" w:rsidP="00190D90">
      <w:pPr>
        <w:pStyle w:val="Telobesedila"/>
        <w:spacing w:after="0" w:line="240" w:lineRule="auto"/>
        <w:jc w:val="both"/>
        <w:rPr>
          <w:rFonts w:asciiTheme="minorHAnsi" w:hAnsiTheme="minorHAnsi" w:cstheme="minorHAnsi"/>
          <w:sz w:val="22"/>
          <w:szCs w:val="22"/>
        </w:rPr>
      </w:pPr>
      <w:r w:rsidRPr="00C830A6">
        <w:rPr>
          <w:rFonts w:asciiTheme="minorHAnsi" w:hAnsiTheme="minorHAnsi" w:cstheme="minorHAnsi"/>
          <w:sz w:val="22"/>
          <w:szCs w:val="22"/>
        </w:rPr>
        <w:t>Ponudniki morajo v ponudbi priložiti naslednja dokazila:</w:t>
      </w:r>
    </w:p>
    <w:p w14:paraId="796E5AE9" w14:textId="77777777" w:rsidR="00190D90" w:rsidRPr="00C830A6" w:rsidRDefault="00190D90" w:rsidP="00190D90">
      <w:pPr>
        <w:numPr>
          <w:ilvl w:val="1"/>
          <w:numId w:val="1"/>
        </w:numPr>
        <w:tabs>
          <w:tab w:val="clear" w:pos="1440"/>
          <w:tab w:val="num" w:pos="720"/>
        </w:tabs>
        <w:ind w:left="720"/>
        <w:jc w:val="both"/>
        <w:rPr>
          <w:rFonts w:asciiTheme="minorHAnsi" w:hAnsiTheme="minorHAnsi" w:cstheme="minorHAnsi"/>
          <w:sz w:val="22"/>
          <w:szCs w:val="22"/>
        </w:rPr>
      </w:pPr>
      <w:r w:rsidRPr="00C830A6">
        <w:rPr>
          <w:rFonts w:asciiTheme="minorHAnsi" w:hAnsiTheme="minorHAnsi" w:cstheme="minorHAnsi"/>
          <w:sz w:val="22"/>
          <w:szCs w:val="22"/>
        </w:rPr>
        <w:t>Dokazilo o lastništvu prostorov oz. o pravici razpolaganja s prostori</w:t>
      </w:r>
    </w:p>
    <w:p w14:paraId="19A28C97" w14:textId="77777777" w:rsidR="00190D90" w:rsidRPr="00C830A6" w:rsidRDefault="00190D90" w:rsidP="00190D90">
      <w:pPr>
        <w:numPr>
          <w:ilvl w:val="1"/>
          <w:numId w:val="1"/>
        </w:numPr>
        <w:tabs>
          <w:tab w:val="clear" w:pos="1440"/>
          <w:tab w:val="num" w:pos="720"/>
        </w:tabs>
        <w:ind w:left="720"/>
        <w:jc w:val="both"/>
        <w:rPr>
          <w:rFonts w:asciiTheme="minorHAnsi" w:hAnsiTheme="minorHAnsi" w:cstheme="minorHAnsi"/>
          <w:sz w:val="22"/>
          <w:szCs w:val="22"/>
        </w:rPr>
      </w:pPr>
      <w:r w:rsidRPr="00C830A6">
        <w:rPr>
          <w:rFonts w:asciiTheme="minorHAnsi" w:hAnsiTheme="minorHAnsi" w:cstheme="minorHAnsi"/>
          <w:sz w:val="22"/>
          <w:szCs w:val="22"/>
        </w:rPr>
        <w:t>Dokazilo, da ima objekt uporabno dovoljenje za poslovne prostore</w:t>
      </w:r>
    </w:p>
    <w:p w14:paraId="0BF83EB9" w14:textId="77777777" w:rsidR="00190D90" w:rsidRPr="00C830A6" w:rsidRDefault="00190D90" w:rsidP="00190D90">
      <w:pPr>
        <w:numPr>
          <w:ilvl w:val="1"/>
          <w:numId w:val="1"/>
        </w:numPr>
        <w:tabs>
          <w:tab w:val="clear" w:pos="1440"/>
          <w:tab w:val="num" w:pos="720"/>
        </w:tabs>
        <w:ind w:left="720"/>
        <w:jc w:val="both"/>
        <w:rPr>
          <w:rFonts w:asciiTheme="minorHAnsi" w:hAnsiTheme="minorHAnsi" w:cstheme="minorHAnsi"/>
          <w:sz w:val="22"/>
          <w:szCs w:val="22"/>
        </w:rPr>
      </w:pPr>
      <w:r w:rsidRPr="00C830A6">
        <w:rPr>
          <w:rFonts w:asciiTheme="minorHAnsi" w:hAnsiTheme="minorHAnsi" w:cstheme="minorHAnsi"/>
          <w:sz w:val="22"/>
          <w:szCs w:val="22"/>
        </w:rPr>
        <w:t>Energetsko izkaznico</w:t>
      </w:r>
    </w:p>
    <w:p w14:paraId="4D8AE5B8" w14:textId="77777777" w:rsidR="00190D90" w:rsidRPr="00C830A6" w:rsidRDefault="00190D90" w:rsidP="00190D90">
      <w:pPr>
        <w:numPr>
          <w:ilvl w:val="1"/>
          <w:numId w:val="1"/>
        </w:numPr>
        <w:tabs>
          <w:tab w:val="clear" w:pos="1440"/>
          <w:tab w:val="num" w:pos="720"/>
        </w:tabs>
        <w:ind w:left="720"/>
        <w:jc w:val="both"/>
        <w:rPr>
          <w:rFonts w:asciiTheme="minorHAnsi" w:hAnsiTheme="minorHAnsi" w:cstheme="minorHAnsi"/>
          <w:sz w:val="22"/>
          <w:szCs w:val="22"/>
        </w:rPr>
      </w:pPr>
      <w:r w:rsidRPr="00C830A6">
        <w:rPr>
          <w:rFonts w:asciiTheme="minorHAnsi" w:hAnsiTheme="minorHAnsi" w:cstheme="minorHAnsi"/>
          <w:sz w:val="22"/>
          <w:szCs w:val="22"/>
        </w:rPr>
        <w:t>Izjavo, da so ponujeni prostori v stavbi s klasifikacijo CC-SI 1220</w:t>
      </w:r>
    </w:p>
    <w:p w14:paraId="649BAB9E" w14:textId="77777777" w:rsidR="00190D90" w:rsidRPr="00C830A6" w:rsidRDefault="00190D90" w:rsidP="00190D90">
      <w:pPr>
        <w:numPr>
          <w:ilvl w:val="1"/>
          <w:numId w:val="1"/>
        </w:numPr>
        <w:tabs>
          <w:tab w:val="clear" w:pos="1440"/>
          <w:tab w:val="num" w:pos="720"/>
        </w:tabs>
        <w:ind w:left="720"/>
        <w:jc w:val="both"/>
        <w:rPr>
          <w:rFonts w:asciiTheme="minorHAnsi" w:hAnsiTheme="minorHAnsi" w:cstheme="minorHAnsi"/>
          <w:sz w:val="22"/>
          <w:szCs w:val="22"/>
        </w:rPr>
      </w:pPr>
      <w:r w:rsidRPr="00C830A6">
        <w:rPr>
          <w:rFonts w:asciiTheme="minorHAnsi" w:hAnsiTheme="minorHAnsi" w:cstheme="minorHAnsi"/>
          <w:sz w:val="22"/>
          <w:szCs w:val="22"/>
        </w:rPr>
        <w:t>Tloris poslovnih prostorov iz katerega je razvidno zadostno število delovnih mest in sistemski prostor.</w:t>
      </w:r>
    </w:p>
    <w:p w14:paraId="4313BC31" w14:textId="230929E0" w:rsidR="00190D90" w:rsidRPr="00C830A6" w:rsidRDefault="00190D90" w:rsidP="00190D90">
      <w:pPr>
        <w:numPr>
          <w:ilvl w:val="1"/>
          <w:numId w:val="1"/>
        </w:numPr>
        <w:tabs>
          <w:tab w:val="clear" w:pos="1440"/>
          <w:tab w:val="num" w:pos="720"/>
        </w:tabs>
        <w:ind w:left="720"/>
        <w:jc w:val="both"/>
        <w:rPr>
          <w:rFonts w:asciiTheme="minorHAnsi" w:hAnsiTheme="minorHAnsi" w:cstheme="minorHAnsi"/>
          <w:sz w:val="22"/>
          <w:szCs w:val="22"/>
        </w:rPr>
      </w:pPr>
      <w:r w:rsidRPr="00C830A6">
        <w:rPr>
          <w:rFonts w:asciiTheme="minorHAnsi" w:hAnsiTheme="minorHAnsi" w:cstheme="minorHAnsi"/>
          <w:sz w:val="22"/>
          <w:szCs w:val="22"/>
        </w:rPr>
        <w:t xml:space="preserve">Izpolnjena tabela iz točke </w:t>
      </w:r>
      <w:r w:rsidR="00794CD4">
        <w:rPr>
          <w:rFonts w:asciiTheme="minorHAnsi" w:hAnsiTheme="minorHAnsi" w:cstheme="minorHAnsi"/>
          <w:sz w:val="22"/>
          <w:szCs w:val="22"/>
        </w:rPr>
        <w:t>6</w:t>
      </w:r>
      <w:r w:rsidRPr="00C830A6">
        <w:rPr>
          <w:rFonts w:asciiTheme="minorHAnsi" w:hAnsiTheme="minorHAnsi" w:cstheme="minorHAnsi"/>
          <w:sz w:val="22"/>
          <w:szCs w:val="22"/>
        </w:rPr>
        <w:t>.</w:t>
      </w:r>
    </w:p>
    <w:p w14:paraId="468F79A7" w14:textId="77777777" w:rsidR="00EE74B8" w:rsidRDefault="00EE74B8"/>
    <w:sectPr w:rsidR="00EE74B8" w:rsidSect="00190D90">
      <w:footerReference w:type="default" r:id="rId12"/>
      <w:footerReference w:type="first" r:id="rId13"/>
      <w:pgSz w:w="11906" w:h="16838" w:code="9"/>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9C0C2" w14:textId="77777777" w:rsidR="007F7FAC" w:rsidRDefault="007F7FAC">
      <w:r>
        <w:separator/>
      </w:r>
    </w:p>
  </w:endnote>
  <w:endnote w:type="continuationSeparator" w:id="0">
    <w:p w14:paraId="2E00D18B" w14:textId="77777777" w:rsidR="007F7FAC" w:rsidRDefault="007F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830449"/>
      <w:docPartObj>
        <w:docPartGallery w:val="Page Numbers (Bottom of Page)"/>
        <w:docPartUnique/>
      </w:docPartObj>
    </w:sdtPr>
    <w:sdtContent>
      <w:sdt>
        <w:sdtPr>
          <w:id w:val="501010369"/>
          <w:docPartObj>
            <w:docPartGallery w:val="Page Numbers (Top of Page)"/>
            <w:docPartUnique/>
          </w:docPartObj>
        </w:sdtPr>
        <w:sdtContent>
          <w:p w14:paraId="67277DF0" w14:textId="77777777" w:rsidR="0008508B" w:rsidRDefault="00000000">
            <w:pPr>
              <w:pStyle w:val="Noga"/>
              <w:jc w:val="center"/>
            </w:pPr>
            <w:r w:rsidRPr="00BF2BAD">
              <w:rPr>
                <w:rFonts w:asciiTheme="minorHAnsi" w:hAnsiTheme="minorHAnsi" w:cstheme="minorHAnsi"/>
                <w:sz w:val="20"/>
                <w:szCs w:val="20"/>
              </w:rPr>
              <w:t xml:space="preserve">Stran </w:t>
            </w:r>
            <w:r w:rsidRPr="00BF2BAD">
              <w:rPr>
                <w:rFonts w:asciiTheme="minorHAnsi" w:hAnsiTheme="minorHAnsi" w:cstheme="minorHAnsi"/>
                <w:b/>
                <w:bCs/>
                <w:sz w:val="20"/>
                <w:szCs w:val="20"/>
              </w:rPr>
              <w:fldChar w:fldCharType="begin"/>
            </w:r>
            <w:r w:rsidRPr="00BF2BAD">
              <w:rPr>
                <w:rFonts w:asciiTheme="minorHAnsi" w:hAnsiTheme="minorHAnsi" w:cstheme="minorHAnsi"/>
                <w:b/>
                <w:bCs/>
                <w:sz w:val="20"/>
                <w:szCs w:val="20"/>
              </w:rPr>
              <w:instrText>PAGE</w:instrText>
            </w:r>
            <w:r w:rsidRPr="00BF2BAD">
              <w:rPr>
                <w:rFonts w:asciiTheme="minorHAnsi" w:hAnsiTheme="minorHAnsi" w:cstheme="minorHAnsi"/>
                <w:b/>
                <w:bCs/>
                <w:sz w:val="20"/>
                <w:szCs w:val="20"/>
              </w:rPr>
              <w:fldChar w:fldCharType="separate"/>
            </w:r>
            <w:r>
              <w:rPr>
                <w:rFonts w:asciiTheme="minorHAnsi" w:hAnsiTheme="minorHAnsi" w:cstheme="minorHAnsi"/>
                <w:b/>
                <w:bCs/>
                <w:noProof/>
                <w:sz w:val="20"/>
                <w:szCs w:val="20"/>
              </w:rPr>
              <w:t>3</w:t>
            </w:r>
            <w:r w:rsidRPr="00BF2BAD">
              <w:rPr>
                <w:rFonts w:asciiTheme="minorHAnsi" w:hAnsiTheme="minorHAnsi" w:cstheme="minorHAnsi"/>
                <w:b/>
                <w:bCs/>
                <w:sz w:val="20"/>
                <w:szCs w:val="20"/>
              </w:rPr>
              <w:fldChar w:fldCharType="end"/>
            </w:r>
            <w:r w:rsidRPr="00BF2BAD">
              <w:rPr>
                <w:rFonts w:asciiTheme="minorHAnsi" w:hAnsiTheme="minorHAnsi" w:cstheme="minorHAnsi"/>
                <w:sz w:val="20"/>
                <w:szCs w:val="20"/>
              </w:rPr>
              <w:t xml:space="preserve"> od </w:t>
            </w:r>
            <w:r w:rsidRPr="00BF2BAD">
              <w:rPr>
                <w:rFonts w:asciiTheme="minorHAnsi" w:hAnsiTheme="minorHAnsi" w:cstheme="minorHAnsi"/>
                <w:b/>
                <w:bCs/>
                <w:sz w:val="20"/>
                <w:szCs w:val="20"/>
              </w:rPr>
              <w:fldChar w:fldCharType="begin"/>
            </w:r>
            <w:r w:rsidRPr="00BF2BAD">
              <w:rPr>
                <w:rFonts w:asciiTheme="minorHAnsi" w:hAnsiTheme="minorHAnsi" w:cstheme="minorHAnsi"/>
                <w:b/>
                <w:bCs/>
                <w:sz w:val="20"/>
                <w:szCs w:val="20"/>
              </w:rPr>
              <w:instrText>NUMPAGES</w:instrText>
            </w:r>
            <w:r w:rsidRPr="00BF2BAD">
              <w:rPr>
                <w:rFonts w:asciiTheme="minorHAnsi" w:hAnsiTheme="minorHAnsi" w:cstheme="minorHAnsi"/>
                <w:b/>
                <w:bCs/>
                <w:sz w:val="20"/>
                <w:szCs w:val="20"/>
              </w:rPr>
              <w:fldChar w:fldCharType="separate"/>
            </w:r>
            <w:r>
              <w:rPr>
                <w:rFonts w:asciiTheme="minorHAnsi" w:hAnsiTheme="minorHAnsi" w:cstheme="minorHAnsi"/>
                <w:b/>
                <w:bCs/>
                <w:noProof/>
                <w:sz w:val="20"/>
                <w:szCs w:val="20"/>
              </w:rPr>
              <w:t>3</w:t>
            </w:r>
            <w:r w:rsidRPr="00BF2BAD">
              <w:rPr>
                <w:rFonts w:asciiTheme="minorHAnsi" w:hAnsiTheme="minorHAnsi" w:cstheme="minorHAnsi"/>
                <w:b/>
                <w:bCs/>
                <w:sz w:val="20"/>
                <w:szCs w:val="20"/>
              </w:rPr>
              <w:fldChar w:fldCharType="end"/>
            </w:r>
          </w:p>
        </w:sdtContent>
      </w:sdt>
    </w:sdtContent>
  </w:sdt>
  <w:p w14:paraId="71174DBB" w14:textId="77777777" w:rsidR="0008508B" w:rsidRDefault="0008508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00165373"/>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7F7810B0" w14:textId="77777777" w:rsidR="0008508B" w:rsidRPr="00BF2BAD" w:rsidRDefault="00000000">
            <w:pPr>
              <w:pStyle w:val="Noga"/>
              <w:jc w:val="center"/>
              <w:rPr>
                <w:sz w:val="20"/>
                <w:szCs w:val="20"/>
              </w:rPr>
            </w:pPr>
            <w:r w:rsidRPr="00BF2BAD">
              <w:rPr>
                <w:rFonts w:asciiTheme="minorHAnsi" w:hAnsiTheme="minorHAnsi" w:cstheme="minorHAnsi"/>
                <w:sz w:val="20"/>
                <w:szCs w:val="20"/>
              </w:rPr>
              <w:t xml:space="preserve">Stran </w:t>
            </w:r>
            <w:r w:rsidRPr="00BF2BAD">
              <w:rPr>
                <w:rFonts w:asciiTheme="minorHAnsi" w:hAnsiTheme="minorHAnsi" w:cstheme="minorHAnsi"/>
                <w:b/>
                <w:bCs/>
                <w:sz w:val="20"/>
                <w:szCs w:val="20"/>
              </w:rPr>
              <w:fldChar w:fldCharType="begin"/>
            </w:r>
            <w:r w:rsidRPr="00BF2BAD">
              <w:rPr>
                <w:rFonts w:asciiTheme="minorHAnsi" w:hAnsiTheme="minorHAnsi" w:cstheme="minorHAnsi"/>
                <w:b/>
                <w:bCs/>
                <w:sz w:val="20"/>
                <w:szCs w:val="20"/>
              </w:rPr>
              <w:instrText>PAGE</w:instrText>
            </w:r>
            <w:r w:rsidRPr="00BF2BAD">
              <w:rPr>
                <w:rFonts w:asciiTheme="minorHAnsi" w:hAnsiTheme="minorHAnsi" w:cstheme="minorHAnsi"/>
                <w:b/>
                <w:bCs/>
                <w:sz w:val="20"/>
                <w:szCs w:val="20"/>
              </w:rPr>
              <w:fldChar w:fldCharType="separate"/>
            </w:r>
            <w:r>
              <w:rPr>
                <w:rFonts w:asciiTheme="minorHAnsi" w:hAnsiTheme="minorHAnsi" w:cstheme="minorHAnsi"/>
                <w:b/>
                <w:bCs/>
                <w:noProof/>
                <w:sz w:val="20"/>
                <w:szCs w:val="20"/>
              </w:rPr>
              <w:t>1</w:t>
            </w:r>
            <w:r w:rsidRPr="00BF2BAD">
              <w:rPr>
                <w:rFonts w:asciiTheme="minorHAnsi" w:hAnsiTheme="minorHAnsi" w:cstheme="minorHAnsi"/>
                <w:b/>
                <w:bCs/>
                <w:sz w:val="20"/>
                <w:szCs w:val="20"/>
              </w:rPr>
              <w:fldChar w:fldCharType="end"/>
            </w:r>
            <w:r w:rsidRPr="00BF2BAD">
              <w:rPr>
                <w:rFonts w:asciiTheme="minorHAnsi" w:hAnsiTheme="minorHAnsi" w:cstheme="minorHAnsi"/>
                <w:sz w:val="20"/>
                <w:szCs w:val="20"/>
              </w:rPr>
              <w:t xml:space="preserve"> od </w:t>
            </w:r>
            <w:r w:rsidRPr="00BF2BAD">
              <w:rPr>
                <w:rFonts w:asciiTheme="minorHAnsi" w:hAnsiTheme="minorHAnsi" w:cstheme="minorHAnsi"/>
                <w:b/>
                <w:bCs/>
                <w:sz w:val="20"/>
                <w:szCs w:val="20"/>
              </w:rPr>
              <w:fldChar w:fldCharType="begin"/>
            </w:r>
            <w:r w:rsidRPr="00BF2BAD">
              <w:rPr>
                <w:rFonts w:asciiTheme="minorHAnsi" w:hAnsiTheme="minorHAnsi" w:cstheme="minorHAnsi"/>
                <w:b/>
                <w:bCs/>
                <w:sz w:val="20"/>
                <w:szCs w:val="20"/>
              </w:rPr>
              <w:instrText>NUMPAGES</w:instrText>
            </w:r>
            <w:r w:rsidRPr="00BF2BAD">
              <w:rPr>
                <w:rFonts w:asciiTheme="minorHAnsi" w:hAnsiTheme="minorHAnsi" w:cstheme="minorHAnsi"/>
                <w:b/>
                <w:bCs/>
                <w:sz w:val="20"/>
                <w:szCs w:val="20"/>
              </w:rPr>
              <w:fldChar w:fldCharType="separate"/>
            </w:r>
            <w:r>
              <w:rPr>
                <w:rFonts w:asciiTheme="minorHAnsi" w:hAnsiTheme="minorHAnsi" w:cstheme="minorHAnsi"/>
                <w:b/>
                <w:bCs/>
                <w:noProof/>
                <w:sz w:val="20"/>
                <w:szCs w:val="20"/>
              </w:rPr>
              <w:t>3</w:t>
            </w:r>
            <w:r w:rsidRPr="00BF2BAD">
              <w:rPr>
                <w:rFonts w:asciiTheme="minorHAnsi" w:hAnsiTheme="minorHAnsi" w:cstheme="minorHAnsi"/>
                <w:b/>
                <w:bCs/>
                <w:sz w:val="20"/>
                <w:szCs w:val="20"/>
              </w:rPr>
              <w:fldChar w:fldCharType="end"/>
            </w:r>
          </w:p>
        </w:sdtContent>
      </w:sdt>
    </w:sdtContent>
  </w:sdt>
  <w:p w14:paraId="3C251AF0" w14:textId="77777777" w:rsidR="0008508B" w:rsidRDefault="0008508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7DB67" w14:textId="77777777" w:rsidR="007F7FAC" w:rsidRDefault="007F7FAC">
      <w:r>
        <w:separator/>
      </w:r>
    </w:p>
  </w:footnote>
  <w:footnote w:type="continuationSeparator" w:id="0">
    <w:p w14:paraId="2B97591A" w14:textId="77777777" w:rsidR="007F7FAC" w:rsidRDefault="007F7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E3ED5"/>
    <w:multiLevelType w:val="hybridMultilevel"/>
    <w:tmpl w:val="A4E0D256"/>
    <w:lvl w:ilvl="0" w:tplc="0424000F">
      <w:start w:val="3"/>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457A2573"/>
    <w:multiLevelType w:val="multilevel"/>
    <w:tmpl w:val="DB24B12A"/>
    <w:lvl w:ilvl="0">
      <w:start w:val="3"/>
      <w:numFmt w:val="decimal"/>
      <w:lvlText w:val="%1"/>
      <w:lvlJc w:val="left"/>
      <w:pPr>
        <w:ind w:left="360" w:hanging="360"/>
      </w:pPr>
      <w:rPr>
        <w:rFonts w:hint="default"/>
      </w:rPr>
    </w:lvl>
    <w:lvl w:ilvl="1">
      <w:start w:val="1"/>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2" w15:restartNumberingAfterBreak="0">
    <w:nsid w:val="5D681ED1"/>
    <w:multiLevelType w:val="multilevel"/>
    <w:tmpl w:val="E35A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2E5B33"/>
    <w:multiLevelType w:val="hybridMultilevel"/>
    <w:tmpl w:val="D1F06A72"/>
    <w:lvl w:ilvl="0" w:tplc="2C647C6A">
      <w:start w:val="3"/>
      <w:numFmt w:val="bullet"/>
      <w:lvlText w:val="-"/>
      <w:lvlJc w:val="left"/>
      <w:pPr>
        <w:ind w:left="720" w:hanging="360"/>
      </w:pPr>
      <w:rPr>
        <w:rFonts w:asciiTheme="minorHAnsi" w:eastAsia="Times New Roman" w:hAnsiTheme="minorHAnsi" w:cstheme="minorHAns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94877715">
    <w:abstractNumId w:val="0"/>
  </w:num>
  <w:num w:numId="2" w16cid:durableId="926232321">
    <w:abstractNumId w:val="1"/>
  </w:num>
  <w:num w:numId="3" w16cid:durableId="1398287008">
    <w:abstractNumId w:val="3"/>
  </w:num>
  <w:num w:numId="4" w16cid:durableId="1884713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90"/>
    <w:rsid w:val="0008508B"/>
    <w:rsid w:val="00190D90"/>
    <w:rsid w:val="00374E1C"/>
    <w:rsid w:val="00794CD4"/>
    <w:rsid w:val="007F7FAC"/>
    <w:rsid w:val="00B44104"/>
    <w:rsid w:val="00CE3A47"/>
    <w:rsid w:val="00EE74B8"/>
    <w:rsid w:val="00F921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277E6"/>
  <w15:chartTrackingRefBased/>
  <w15:docId w15:val="{07B8A1F7-8064-4B09-87FD-02C2033F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90D90"/>
    <w:pPr>
      <w:spacing w:after="0" w:line="240" w:lineRule="auto"/>
    </w:pPr>
    <w:rPr>
      <w:rFonts w:ascii="Times New Roman" w:eastAsia="Times New Roman" w:hAnsi="Times New Roman" w:cs="Times New Roman"/>
      <w:kern w:val="0"/>
      <w:lang w:val="sl-SI" w:eastAsia="sl-SI"/>
      <w14:ligatures w14:val="none"/>
    </w:rPr>
  </w:style>
  <w:style w:type="paragraph" w:styleId="Naslov1">
    <w:name w:val="heading 1"/>
    <w:basedOn w:val="Navaden"/>
    <w:next w:val="Navaden"/>
    <w:link w:val="Naslov1Znak"/>
    <w:qFormat/>
    <w:rsid w:val="00190D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90D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90D9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90D9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90D9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90D90"/>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90D90"/>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90D90"/>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90D90"/>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90D9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90D9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90D9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90D9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90D9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90D9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90D9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90D9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90D90"/>
    <w:rPr>
      <w:rFonts w:eastAsiaTheme="majorEastAsia" w:cstheme="majorBidi"/>
      <w:color w:val="272727" w:themeColor="text1" w:themeTint="D8"/>
    </w:rPr>
  </w:style>
  <w:style w:type="paragraph" w:styleId="Naslov">
    <w:name w:val="Title"/>
    <w:basedOn w:val="Navaden"/>
    <w:next w:val="Navaden"/>
    <w:link w:val="NaslovZnak"/>
    <w:uiPriority w:val="10"/>
    <w:qFormat/>
    <w:rsid w:val="00190D90"/>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90D9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90D9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90D9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90D90"/>
    <w:pPr>
      <w:spacing w:before="160"/>
      <w:jc w:val="center"/>
    </w:pPr>
    <w:rPr>
      <w:i/>
      <w:iCs/>
      <w:color w:val="404040" w:themeColor="text1" w:themeTint="BF"/>
    </w:rPr>
  </w:style>
  <w:style w:type="character" w:customStyle="1" w:styleId="CitatZnak">
    <w:name w:val="Citat Znak"/>
    <w:basedOn w:val="Privzetapisavaodstavka"/>
    <w:link w:val="Citat"/>
    <w:uiPriority w:val="29"/>
    <w:rsid w:val="00190D90"/>
    <w:rPr>
      <w:i/>
      <w:iCs/>
      <w:color w:val="404040" w:themeColor="text1" w:themeTint="BF"/>
    </w:rPr>
  </w:style>
  <w:style w:type="paragraph" w:styleId="Odstavekseznama">
    <w:name w:val="List Paragraph"/>
    <w:basedOn w:val="Navaden"/>
    <w:uiPriority w:val="34"/>
    <w:qFormat/>
    <w:rsid w:val="00190D90"/>
    <w:pPr>
      <w:ind w:left="720"/>
      <w:contextualSpacing/>
    </w:pPr>
  </w:style>
  <w:style w:type="character" w:styleId="Intenzivenpoudarek">
    <w:name w:val="Intense Emphasis"/>
    <w:basedOn w:val="Privzetapisavaodstavka"/>
    <w:uiPriority w:val="21"/>
    <w:qFormat/>
    <w:rsid w:val="00190D90"/>
    <w:rPr>
      <w:i/>
      <w:iCs/>
      <w:color w:val="0F4761" w:themeColor="accent1" w:themeShade="BF"/>
    </w:rPr>
  </w:style>
  <w:style w:type="paragraph" w:styleId="Intenzivencitat">
    <w:name w:val="Intense Quote"/>
    <w:basedOn w:val="Navaden"/>
    <w:next w:val="Navaden"/>
    <w:link w:val="IntenzivencitatZnak"/>
    <w:uiPriority w:val="30"/>
    <w:qFormat/>
    <w:rsid w:val="00190D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90D90"/>
    <w:rPr>
      <w:i/>
      <w:iCs/>
      <w:color w:val="0F4761" w:themeColor="accent1" w:themeShade="BF"/>
    </w:rPr>
  </w:style>
  <w:style w:type="character" w:styleId="Intenzivensklic">
    <w:name w:val="Intense Reference"/>
    <w:basedOn w:val="Privzetapisavaodstavka"/>
    <w:uiPriority w:val="32"/>
    <w:qFormat/>
    <w:rsid w:val="00190D90"/>
    <w:rPr>
      <w:b/>
      <w:bCs/>
      <w:smallCaps/>
      <w:color w:val="0F4761" w:themeColor="accent1" w:themeShade="BF"/>
      <w:spacing w:val="5"/>
    </w:rPr>
  </w:style>
  <w:style w:type="table" w:styleId="Tabelamrea">
    <w:name w:val="Table Grid"/>
    <w:basedOn w:val="Navadnatabela"/>
    <w:rsid w:val="00190D90"/>
    <w:pPr>
      <w:spacing w:after="0" w:line="240" w:lineRule="auto"/>
    </w:pPr>
    <w:rPr>
      <w:rFonts w:ascii="Times New Roman" w:eastAsia="Times New Roman" w:hAnsi="Times New Roman" w:cs="Times New Roman"/>
      <w:kern w:val="0"/>
      <w:sz w:val="20"/>
      <w:szCs w:val="20"/>
      <w:lang w:val="sl-SI" w:eastAsia="sl-SI" w:bidi="lo-L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190D90"/>
    <w:pPr>
      <w:spacing w:after="120" w:line="260" w:lineRule="exact"/>
    </w:pPr>
    <w:rPr>
      <w:rFonts w:ascii="Arial" w:hAnsi="Arial"/>
      <w:sz w:val="20"/>
      <w:lang w:eastAsia="en-US"/>
    </w:rPr>
  </w:style>
  <w:style w:type="character" w:customStyle="1" w:styleId="TelobesedilaZnak">
    <w:name w:val="Telo besedila Znak"/>
    <w:basedOn w:val="Privzetapisavaodstavka"/>
    <w:link w:val="Telobesedila"/>
    <w:rsid w:val="00190D90"/>
    <w:rPr>
      <w:rFonts w:ascii="Arial" w:eastAsia="Times New Roman" w:hAnsi="Arial" w:cs="Times New Roman"/>
      <w:kern w:val="0"/>
      <w:sz w:val="20"/>
      <w:lang w:val="sl-SI"/>
      <w14:ligatures w14:val="none"/>
    </w:rPr>
  </w:style>
  <w:style w:type="paragraph" w:styleId="Noga">
    <w:name w:val="footer"/>
    <w:basedOn w:val="Navaden"/>
    <w:link w:val="NogaZnak"/>
    <w:uiPriority w:val="99"/>
    <w:rsid w:val="00190D90"/>
    <w:pPr>
      <w:tabs>
        <w:tab w:val="center" w:pos="4680"/>
        <w:tab w:val="right" w:pos="9360"/>
      </w:tabs>
    </w:pPr>
  </w:style>
  <w:style w:type="character" w:customStyle="1" w:styleId="NogaZnak">
    <w:name w:val="Noga Znak"/>
    <w:basedOn w:val="Privzetapisavaodstavka"/>
    <w:link w:val="Noga"/>
    <w:uiPriority w:val="99"/>
    <w:rsid w:val="00190D90"/>
    <w:rPr>
      <w:rFonts w:ascii="Times New Roman" w:eastAsia="Times New Roman" w:hAnsi="Times New Roman" w:cs="Times New Roman"/>
      <w:kern w:val="0"/>
      <w:lang w:val="sl-SI"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176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radni-list.si/1/objava.jsp?sop=2003-01-433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8-01-204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radni-list.si/1/objava.jsp?sop=2017-01-2914" TargetMode="External"/><Relationship Id="rId4" Type="http://schemas.openxmlformats.org/officeDocument/2006/relationships/webSettings" Target="webSettings.xml"/><Relationship Id="rId9" Type="http://schemas.openxmlformats.org/officeDocument/2006/relationships/hyperlink" Target="http://www.uradni-list.si/1/objava.jsp?sop=2009-01-336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900</Words>
  <Characters>5136</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Bombač</dc:creator>
  <cp:keywords/>
  <dc:description/>
  <cp:lastModifiedBy>Nataša Bombač</cp:lastModifiedBy>
  <cp:revision>2</cp:revision>
  <dcterms:created xsi:type="dcterms:W3CDTF">2025-10-07T10:41:00Z</dcterms:created>
  <dcterms:modified xsi:type="dcterms:W3CDTF">2025-10-10T07:16:00Z</dcterms:modified>
</cp:coreProperties>
</file>