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F77" w:rsidRPr="007A2D4E" w:rsidRDefault="00DA0126">
      <w:pPr>
        <w:pStyle w:val="Standard"/>
        <w:spacing w:line="360" w:lineRule="auto"/>
        <w:jc w:val="center"/>
        <w:rPr>
          <w:rFonts w:asciiTheme="minorHAnsi" w:hAnsiTheme="minorHAnsi"/>
          <w:sz w:val="22"/>
          <w:szCs w:val="22"/>
        </w:rPr>
      </w:pPr>
      <w:r w:rsidRPr="007A2D4E">
        <w:rPr>
          <w:rFonts w:asciiTheme="minorHAnsi" w:hAnsiTheme="minorHAnsi"/>
          <w:b/>
          <w:bCs/>
          <w:sz w:val="22"/>
          <w:szCs w:val="22"/>
        </w:rPr>
        <w:t>Samomor in prepovedane droge</w:t>
      </w:r>
    </w:p>
    <w:p w:rsidR="00E01F77" w:rsidRPr="007A2D4E" w:rsidRDefault="00DA0126">
      <w:pPr>
        <w:pStyle w:val="Standard"/>
        <w:spacing w:line="360" w:lineRule="auto"/>
        <w:jc w:val="center"/>
        <w:rPr>
          <w:rFonts w:asciiTheme="minorHAnsi" w:hAnsiTheme="minorHAnsi"/>
          <w:b/>
          <w:bCs/>
          <w:sz w:val="22"/>
          <w:szCs w:val="22"/>
        </w:rPr>
      </w:pPr>
      <w:r w:rsidRPr="007A2D4E">
        <w:rPr>
          <w:rFonts w:asciiTheme="minorHAnsi" w:hAnsiTheme="minorHAnsi"/>
          <w:b/>
          <w:bCs/>
          <w:sz w:val="22"/>
          <w:szCs w:val="22"/>
        </w:rPr>
        <w:t>Prim. doc. dr. Lovrečič Mercedes, dr. med., spec. psih.</w:t>
      </w:r>
    </w:p>
    <w:p w:rsidR="00E01F77" w:rsidRPr="007A2D4E" w:rsidRDefault="00E01F77">
      <w:pPr>
        <w:pStyle w:val="Standard"/>
        <w:spacing w:line="360" w:lineRule="auto"/>
        <w:jc w:val="both"/>
        <w:rPr>
          <w:rFonts w:asciiTheme="minorHAnsi" w:hAnsiTheme="minorHAnsi"/>
          <w:sz w:val="22"/>
          <w:szCs w:val="22"/>
        </w:rPr>
      </w:pPr>
    </w:p>
    <w:p w:rsidR="00E01F77" w:rsidRPr="007A2D4E" w:rsidRDefault="00DA0126">
      <w:pPr>
        <w:pStyle w:val="Standard"/>
        <w:spacing w:line="360" w:lineRule="auto"/>
        <w:jc w:val="both"/>
        <w:rPr>
          <w:rFonts w:asciiTheme="minorHAnsi" w:hAnsiTheme="minorHAnsi"/>
          <w:sz w:val="22"/>
          <w:szCs w:val="22"/>
        </w:rPr>
      </w:pPr>
      <w:r w:rsidRPr="007A2D4E">
        <w:rPr>
          <w:rFonts w:asciiTheme="minorHAnsi" w:hAnsiTheme="minorHAnsi"/>
          <w:sz w:val="22"/>
          <w:szCs w:val="22"/>
        </w:rPr>
        <w:t>Pri osebah, ki imajo težave z drogami samomor predstavlja enega vodilnih vzrokov smrti, to velja še posebej za osebe, ki imajo težave s prepovedanimi drogami, moški so bolj ogroženi v primerjavi z ženskami, posebej ranljivi so mladi. Uporabniki prepovedanih drog predstavljajo posebej ranljivo skupino z višjim tveganjem za samomor v primerjavi z ostalimi prebivalci. To je zato, ker so pri uporabnikih prepovedanih drog dejavniki tveganja za samomor, ki veljajo za vse prebivalce, bolj pogosti in višjih stopenj v primerjavi z ostalimi prebivalci. Poleg tega so pri uporabnikih prepovedanih drog prisotni tudi dodatni dejavniki tveganja, ki so povezani z rabo drog. Do 35 % vseh vzrokov smrti pri osebah, ki imajo težave z drogami je prepoznanih kot samomor, a je problematika še vedno podcenjena. Osebe, ki si vbrizgavajo heroin imajo 14 - krat večje tveganje za samomor v primerjavi s splošno populacijo. Osebe, ki se zdravijo zaradi težav s prepovedanimi drogami imajo še vedno 10 - krat večje tveganje za samomor v primerjavi s splošno populacijo.</w:t>
      </w:r>
    </w:p>
    <w:p w:rsidR="00E01F77" w:rsidRPr="007A2D4E" w:rsidRDefault="00DA0126">
      <w:pPr>
        <w:pStyle w:val="Standard"/>
        <w:spacing w:line="360" w:lineRule="auto"/>
        <w:jc w:val="both"/>
        <w:rPr>
          <w:rFonts w:asciiTheme="minorHAnsi" w:hAnsiTheme="minorHAnsi"/>
          <w:sz w:val="22"/>
          <w:szCs w:val="22"/>
        </w:rPr>
      </w:pPr>
      <w:r w:rsidRPr="007A2D4E">
        <w:rPr>
          <w:rFonts w:asciiTheme="minorHAnsi" w:hAnsiTheme="minorHAnsi"/>
          <w:sz w:val="22"/>
          <w:szCs w:val="22"/>
        </w:rPr>
        <w:t xml:space="preserve">Za preprečevanje samomora v tej podskupini je bistvenega pomena zdravljenje težav zaradi drog pa tudi zgodnje prepoznavanje in zdravljenje samomorilnega vedenja. Med dokazano učinkovite ukrepe za uspešno preprečevanje samomora, ki jih priporoča Svetovna zdravstvena organizacija, se uvršča tudi omejevanje dostopa do najpogosteje uporabljenih metod za samomor. To je še posebej pomembno, ker je v tej podskupini pogost vzrok smrti samomor z zastrupitvijo z zdravili. </w:t>
      </w:r>
      <w:r w:rsidRPr="007A2D4E">
        <w:rPr>
          <w:rFonts w:asciiTheme="minorHAnsi" w:hAnsiTheme="minorHAnsi"/>
          <w:color w:val="000000"/>
          <w:sz w:val="22"/>
          <w:szCs w:val="22"/>
        </w:rPr>
        <w:t>Tako so potrebni dodatni ustrezni previdnostni ukrepi pri predpisovanju in razdeljevanju tistih psihotropnih zdravil s potencialom za zlorabo in odvisnost.</w:t>
      </w:r>
    </w:p>
    <w:p w:rsidR="00E01F77" w:rsidRPr="007A2D4E" w:rsidRDefault="00DA0126">
      <w:pPr>
        <w:pStyle w:val="Default"/>
        <w:spacing w:line="360" w:lineRule="auto"/>
        <w:jc w:val="both"/>
        <w:rPr>
          <w:rFonts w:asciiTheme="minorHAnsi" w:hAnsiTheme="minorHAnsi"/>
          <w:sz w:val="22"/>
          <w:szCs w:val="22"/>
        </w:rPr>
      </w:pPr>
      <w:r w:rsidRPr="007A2D4E">
        <w:rPr>
          <w:rFonts w:asciiTheme="minorHAnsi" w:hAnsiTheme="minorHAnsi"/>
          <w:sz w:val="22"/>
          <w:szCs w:val="22"/>
        </w:rPr>
        <w:t xml:space="preserve">Zlorabe alkohola, drog in nekaterih zdravil dodatno predstavljajo pomembno tveganje za samomor in so med najpogostejšimi dejavniki tveganja za samomorilno vedenje, takoj za depresivno motnjo in drugimi motnjami razpoloženja. Alkohol, nekatere droge in zdravila, ki vplivajo na centralni živčni sistem zmanjšajo </w:t>
      </w:r>
      <w:proofErr w:type="spellStart"/>
      <w:r w:rsidRPr="007A2D4E">
        <w:rPr>
          <w:rFonts w:asciiTheme="minorHAnsi" w:hAnsiTheme="minorHAnsi"/>
          <w:sz w:val="22"/>
          <w:szCs w:val="22"/>
        </w:rPr>
        <w:t>inhibicijo</w:t>
      </w:r>
      <w:proofErr w:type="spellEnd"/>
      <w:r w:rsidRPr="007A2D4E">
        <w:rPr>
          <w:rFonts w:asciiTheme="minorHAnsi" w:hAnsiTheme="minorHAnsi"/>
          <w:sz w:val="22"/>
          <w:szCs w:val="22"/>
        </w:rPr>
        <w:t>, lahko povečajo impulzivno vedenje, povzročajo spremembe v možganih in sčasoma vodijo tudi v depresijo, vplivajo pa tudi negativno na odnose in socialno podporno mrežo posameznika in s tem oslabijo tiste dejavnike, ki bi lahko ščitili pred samomorom.</w:t>
      </w:r>
    </w:p>
    <w:p w:rsidR="00E01F77" w:rsidRPr="007A2D4E" w:rsidRDefault="00DA0126">
      <w:pPr>
        <w:pStyle w:val="Default"/>
        <w:spacing w:line="360" w:lineRule="auto"/>
        <w:jc w:val="both"/>
        <w:rPr>
          <w:rFonts w:asciiTheme="minorHAnsi" w:hAnsiTheme="minorHAnsi"/>
          <w:sz w:val="22"/>
          <w:szCs w:val="22"/>
        </w:rPr>
      </w:pPr>
      <w:r w:rsidRPr="007A2D4E">
        <w:rPr>
          <w:rFonts w:asciiTheme="minorHAnsi" w:hAnsiTheme="minorHAnsi"/>
          <w:sz w:val="22"/>
          <w:szCs w:val="22"/>
        </w:rPr>
        <w:t>Če vas glede tega skrbi zase ali drugo osebo, poskrbite, da oseba ne bo imela dostopa do večjih količin alkohola, drog in zdravil ali drugih snovi. Omejevanje dostopa do sredstev s katerimi oseba lahko stori samomor je ena najučinkovitejših strategij za preprečevanje samomora. Svojcem, prijateljem in znancem omogoči, da pokličejo pomoč, osebo, ki je samomorilno ogrožena pa začasno obvaruje, da lahko trezneje razmišlja in morda izbere bolj racionalne načine za spopadanje s svojo bolečino.</w:t>
      </w:r>
    </w:p>
    <w:p w:rsidR="00E01F77" w:rsidRPr="007A2D4E" w:rsidRDefault="00E01F77">
      <w:pPr>
        <w:pStyle w:val="Default"/>
        <w:jc w:val="both"/>
        <w:rPr>
          <w:rFonts w:asciiTheme="minorHAnsi" w:hAnsiTheme="minorHAnsi"/>
          <w:sz w:val="22"/>
          <w:szCs w:val="22"/>
        </w:rPr>
      </w:pPr>
    </w:p>
    <w:p w:rsidR="00E01F77" w:rsidRPr="007A2D4E" w:rsidRDefault="00DA0126" w:rsidP="007A2D4E">
      <w:pPr>
        <w:pStyle w:val="Default"/>
        <w:spacing w:line="360" w:lineRule="auto"/>
        <w:jc w:val="both"/>
        <w:rPr>
          <w:rFonts w:asciiTheme="minorHAnsi" w:hAnsiTheme="minorHAnsi"/>
          <w:b/>
          <w:sz w:val="22"/>
          <w:szCs w:val="22"/>
        </w:rPr>
      </w:pPr>
      <w:r w:rsidRPr="007A2D4E">
        <w:rPr>
          <w:rFonts w:asciiTheme="minorHAnsi" w:hAnsiTheme="minorHAnsi"/>
          <w:b/>
          <w:sz w:val="22"/>
          <w:szCs w:val="22"/>
        </w:rPr>
        <w:t>Kratki napotki za vsakogar za zmanjševanje tveganja za samomor z zastrupitvijo:</w:t>
      </w:r>
    </w:p>
    <w:p w:rsidR="00E01F77" w:rsidRPr="007A2D4E" w:rsidRDefault="00DA0126" w:rsidP="007A2D4E">
      <w:pPr>
        <w:pStyle w:val="Default"/>
        <w:numPr>
          <w:ilvl w:val="0"/>
          <w:numId w:val="1"/>
        </w:numPr>
        <w:spacing w:line="360" w:lineRule="auto"/>
        <w:jc w:val="both"/>
        <w:rPr>
          <w:rFonts w:asciiTheme="minorHAnsi" w:hAnsiTheme="minorHAnsi"/>
          <w:sz w:val="22"/>
          <w:szCs w:val="22"/>
        </w:rPr>
      </w:pPr>
      <w:r w:rsidRPr="007A2D4E">
        <w:rPr>
          <w:rFonts w:asciiTheme="minorHAnsi" w:hAnsiTheme="minorHAnsi"/>
          <w:sz w:val="22"/>
          <w:szCs w:val="22"/>
        </w:rPr>
        <w:t>Nikoli ne imejte na dosegu roke večjih količin alkohola, zdravil ali drog.</w:t>
      </w:r>
    </w:p>
    <w:p w:rsidR="00E01F77" w:rsidRPr="007A2D4E" w:rsidRDefault="00DA0126" w:rsidP="007A2D4E">
      <w:pPr>
        <w:pStyle w:val="Default"/>
        <w:numPr>
          <w:ilvl w:val="0"/>
          <w:numId w:val="1"/>
        </w:numPr>
        <w:spacing w:line="360" w:lineRule="auto"/>
        <w:jc w:val="both"/>
        <w:rPr>
          <w:rFonts w:asciiTheme="minorHAnsi" w:hAnsiTheme="minorHAnsi"/>
          <w:sz w:val="22"/>
          <w:szCs w:val="22"/>
        </w:rPr>
      </w:pPr>
      <w:r w:rsidRPr="007A2D4E">
        <w:rPr>
          <w:rFonts w:asciiTheme="minorHAnsi" w:hAnsiTheme="minorHAnsi"/>
          <w:sz w:val="22"/>
          <w:szCs w:val="22"/>
        </w:rPr>
        <w:t>Najbolj varno je, če doma nimate alkohola ali drog in z njihovo rabo prenehate.</w:t>
      </w:r>
    </w:p>
    <w:p w:rsidR="00E01F77" w:rsidRPr="007A2D4E" w:rsidRDefault="00DA0126" w:rsidP="007A2D4E">
      <w:pPr>
        <w:pStyle w:val="Default"/>
        <w:numPr>
          <w:ilvl w:val="0"/>
          <w:numId w:val="1"/>
        </w:numPr>
        <w:spacing w:line="360" w:lineRule="auto"/>
        <w:jc w:val="both"/>
        <w:rPr>
          <w:rFonts w:asciiTheme="minorHAnsi" w:hAnsiTheme="minorHAnsi"/>
          <w:sz w:val="22"/>
          <w:szCs w:val="22"/>
        </w:rPr>
      </w:pPr>
      <w:r w:rsidRPr="007A2D4E">
        <w:rPr>
          <w:rFonts w:asciiTheme="minorHAnsi" w:hAnsiTheme="minorHAnsi"/>
          <w:sz w:val="22"/>
          <w:szCs w:val="22"/>
        </w:rPr>
        <w:t>Glede hranjenja varne količine zdravil se pogovorite z zdravnikom ali farmacevtom v lekarni.</w:t>
      </w:r>
    </w:p>
    <w:p w:rsidR="00E01F77" w:rsidRPr="007A2D4E" w:rsidRDefault="00DA0126" w:rsidP="007A2D4E">
      <w:pPr>
        <w:pStyle w:val="Default"/>
        <w:numPr>
          <w:ilvl w:val="0"/>
          <w:numId w:val="1"/>
        </w:numPr>
        <w:spacing w:line="360" w:lineRule="auto"/>
        <w:jc w:val="both"/>
        <w:rPr>
          <w:rFonts w:asciiTheme="minorHAnsi" w:hAnsiTheme="minorHAnsi"/>
          <w:sz w:val="22"/>
          <w:szCs w:val="22"/>
        </w:rPr>
      </w:pPr>
      <w:r w:rsidRPr="007A2D4E">
        <w:rPr>
          <w:rFonts w:asciiTheme="minorHAnsi" w:hAnsiTheme="minorHAnsi"/>
          <w:sz w:val="22"/>
          <w:szCs w:val="22"/>
        </w:rPr>
        <w:lastRenderedPageBreak/>
        <w:t>Zdravila, ki vam jih predpiše zdravnik hranite na varnem mestu, pomagajo vam lahko svojci tako, da imajo nadzor nad zdravili (omejen dostop, zaklepanje omaric).</w:t>
      </w:r>
    </w:p>
    <w:p w:rsidR="00E01F77" w:rsidRPr="007A2D4E" w:rsidRDefault="00DA0126" w:rsidP="007A2D4E">
      <w:pPr>
        <w:pStyle w:val="Default"/>
        <w:numPr>
          <w:ilvl w:val="0"/>
          <w:numId w:val="1"/>
        </w:numPr>
        <w:spacing w:line="360" w:lineRule="auto"/>
        <w:jc w:val="both"/>
        <w:rPr>
          <w:rFonts w:asciiTheme="minorHAnsi" w:hAnsiTheme="minorHAnsi"/>
          <w:sz w:val="22"/>
          <w:szCs w:val="22"/>
        </w:rPr>
      </w:pPr>
      <w:r w:rsidRPr="007A2D4E">
        <w:rPr>
          <w:rFonts w:asciiTheme="minorHAnsi" w:hAnsiTheme="minorHAnsi"/>
          <w:sz w:val="22"/>
          <w:szCs w:val="22"/>
        </w:rPr>
        <w:t>Ustrezno ravnajte z zdravili, ki jih več ne potrebujete in jih vse oddajte na zbirnih mestih, ki so temu namenjena.</w:t>
      </w:r>
    </w:p>
    <w:p w:rsidR="00E01F77" w:rsidRPr="007A2D4E" w:rsidRDefault="00DA0126" w:rsidP="007A2D4E">
      <w:pPr>
        <w:pStyle w:val="Default"/>
        <w:numPr>
          <w:ilvl w:val="0"/>
          <w:numId w:val="1"/>
        </w:numPr>
        <w:spacing w:line="360" w:lineRule="auto"/>
        <w:jc w:val="both"/>
        <w:rPr>
          <w:rFonts w:asciiTheme="minorHAnsi" w:hAnsiTheme="minorHAnsi"/>
          <w:sz w:val="22"/>
          <w:szCs w:val="22"/>
        </w:rPr>
      </w:pPr>
      <w:r w:rsidRPr="007A2D4E">
        <w:rPr>
          <w:rFonts w:asciiTheme="minorHAnsi" w:hAnsiTheme="minorHAnsi"/>
          <w:sz w:val="22"/>
          <w:szCs w:val="22"/>
        </w:rPr>
        <w:t>Zdravila vedno jemljite na način in v količinah, ki vam jih predpiše zdravnik.</w:t>
      </w:r>
    </w:p>
    <w:p w:rsidR="00E01F77" w:rsidRPr="007A2D4E" w:rsidRDefault="00DA0126" w:rsidP="007A2D4E">
      <w:pPr>
        <w:pStyle w:val="Default"/>
        <w:numPr>
          <w:ilvl w:val="0"/>
          <w:numId w:val="1"/>
        </w:numPr>
        <w:spacing w:line="360" w:lineRule="auto"/>
        <w:jc w:val="both"/>
        <w:rPr>
          <w:rFonts w:asciiTheme="minorHAnsi" w:hAnsiTheme="minorHAnsi"/>
          <w:sz w:val="22"/>
          <w:szCs w:val="22"/>
        </w:rPr>
      </w:pPr>
      <w:r w:rsidRPr="007A2D4E">
        <w:rPr>
          <w:rFonts w:asciiTheme="minorHAnsi" w:hAnsiTheme="minorHAnsi"/>
          <w:sz w:val="22"/>
          <w:szCs w:val="22"/>
        </w:rPr>
        <w:t>Zdravil ne kupujte, če vam jih ni predpisal zdravnik in si jih ne izposojajte od svojcev ali znancev.</w:t>
      </w:r>
    </w:p>
    <w:p w:rsidR="007A2D4E" w:rsidRDefault="007A2D4E">
      <w:pPr>
        <w:pStyle w:val="Default"/>
        <w:jc w:val="both"/>
        <w:rPr>
          <w:rFonts w:asciiTheme="minorHAnsi" w:hAnsiTheme="minorHAnsi"/>
          <w:sz w:val="22"/>
          <w:szCs w:val="22"/>
        </w:rPr>
      </w:pPr>
    </w:p>
    <w:p w:rsidR="007A2D4E" w:rsidRPr="007A2D4E" w:rsidRDefault="007A2D4E">
      <w:pPr>
        <w:pStyle w:val="Default"/>
        <w:jc w:val="both"/>
        <w:rPr>
          <w:rFonts w:asciiTheme="minorHAnsi" w:hAnsiTheme="minorHAnsi"/>
          <w:sz w:val="22"/>
          <w:szCs w:val="22"/>
        </w:rPr>
      </w:pPr>
      <w:r>
        <w:rPr>
          <w:rFonts w:asciiTheme="minorHAnsi" w:hAnsiTheme="minorHAnsi"/>
          <w:sz w:val="22"/>
          <w:szCs w:val="22"/>
        </w:rPr>
        <w:t>__________________________</w:t>
      </w:r>
    </w:p>
    <w:p w:rsidR="00E01F77" w:rsidRPr="007A2D4E" w:rsidRDefault="00E01F77">
      <w:pPr>
        <w:pStyle w:val="Default"/>
        <w:jc w:val="both"/>
        <w:rPr>
          <w:rFonts w:asciiTheme="minorHAnsi" w:hAnsiTheme="minorHAnsi"/>
          <w:sz w:val="22"/>
          <w:szCs w:val="22"/>
        </w:rPr>
      </w:pPr>
    </w:p>
    <w:p w:rsidR="00E01F77" w:rsidRPr="007A2D4E" w:rsidRDefault="00DA0126">
      <w:pPr>
        <w:pStyle w:val="Standard"/>
        <w:jc w:val="both"/>
        <w:rPr>
          <w:rFonts w:asciiTheme="minorHAnsi" w:hAnsiTheme="minorHAnsi"/>
          <w:b/>
          <w:sz w:val="22"/>
          <w:szCs w:val="22"/>
          <w:u w:val="single"/>
        </w:rPr>
      </w:pPr>
      <w:r w:rsidRPr="007A2D4E">
        <w:rPr>
          <w:rFonts w:asciiTheme="minorHAnsi" w:hAnsiTheme="minorHAnsi"/>
          <w:b/>
          <w:sz w:val="22"/>
          <w:szCs w:val="22"/>
          <w:u w:val="single"/>
        </w:rPr>
        <w:t>Literatura:</w:t>
      </w:r>
    </w:p>
    <w:p w:rsidR="00E01F77" w:rsidRPr="007A2D4E" w:rsidRDefault="00DA0126" w:rsidP="007A2D4E">
      <w:pPr>
        <w:pStyle w:val="Standard"/>
        <w:rPr>
          <w:rFonts w:asciiTheme="minorHAnsi" w:hAnsiTheme="minorHAnsi"/>
          <w:sz w:val="22"/>
          <w:szCs w:val="22"/>
        </w:rPr>
      </w:pPr>
      <w:r w:rsidRPr="007A2D4E">
        <w:rPr>
          <w:rFonts w:asciiTheme="minorHAnsi" w:hAnsiTheme="minorHAnsi"/>
          <w:sz w:val="22"/>
          <w:szCs w:val="22"/>
        </w:rPr>
        <w:t xml:space="preserve">Darke S, </w:t>
      </w:r>
      <w:proofErr w:type="spellStart"/>
      <w:r w:rsidRPr="007A2D4E">
        <w:rPr>
          <w:rFonts w:asciiTheme="minorHAnsi" w:hAnsiTheme="minorHAnsi"/>
          <w:sz w:val="22"/>
          <w:szCs w:val="22"/>
        </w:rPr>
        <w:t>Degenhardt</w:t>
      </w:r>
      <w:proofErr w:type="spellEnd"/>
      <w:r w:rsidRPr="007A2D4E">
        <w:rPr>
          <w:rFonts w:asciiTheme="minorHAnsi" w:hAnsiTheme="minorHAnsi"/>
          <w:sz w:val="22"/>
          <w:szCs w:val="22"/>
        </w:rPr>
        <w:t xml:space="preserve"> L, </w:t>
      </w:r>
      <w:proofErr w:type="spellStart"/>
      <w:r w:rsidRPr="007A2D4E">
        <w:rPr>
          <w:rFonts w:asciiTheme="minorHAnsi" w:hAnsiTheme="minorHAnsi"/>
          <w:sz w:val="22"/>
          <w:szCs w:val="22"/>
        </w:rPr>
        <w:t>Mattick</w:t>
      </w:r>
      <w:proofErr w:type="spellEnd"/>
      <w:r w:rsidRPr="007A2D4E">
        <w:rPr>
          <w:rFonts w:asciiTheme="minorHAnsi" w:hAnsiTheme="minorHAnsi"/>
          <w:sz w:val="22"/>
          <w:szCs w:val="22"/>
        </w:rPr>
        <w:t xml:space="preserve"> R. </w:t>
      </w:r>
      <w:proofErr w:type="spellStart"/>
      <w:r w:rsidRPr="007A2D4E">
        <w:rPr>
          <w:rFonts w:asciiTheme="minorHAnsi" w:hAnsiTheme="minorHAnsi"/>
          <w:sz w:val="22"/>
          <w:szCs w:val="22"/>
        </w:rPr>
        <w:t>Mortality</w:t>
      </w:r>
      <w:proofErr w:type="spellEnd"/>
      <w:r w:rsidRPr="007A2D4E">
        <w:rPr>
          <w:rFonts w:asciiTheme="minorHAnsi" w:hAnsiTheme="minorHAnsi"/>
          <w:sz w:val="22"/>
          <w:szCs w:val="22"/>
        </w:rPr>
        <w:t xml:space="preserve"> </w:t>
      </w:r>
      <w:proofErr w:type="spellStart"/>
      <w:r w:rsidRPr="007A2D4E">
        <w:rPr>
          <w:rFonts w:asciiTheme="minorHAnsi" w:hAnsiTheme="minorHAnsi"/>
          <w:sz w:val="22"/>
          <w:szCs w:val="22"/>
        </w:rPr>
        <w:t>amongst</w:t>
      </w:r>
      <w:proofErr w:type="spellEnd"/>
      <w:r w:rsidRPr="007A2D4E">
        <w:rPr>
          <w:rFonts w:asciiTheme="minorHAnsi" w:hAnsiTheme="minorHAnsi"/>
          <w:sz w:val="22"/>
          <w:szCs w:val="22"/>
        </w:rPr>
        <w:t xml:space="preserve"> </w:t>
      </w:r>
      <w:proofErr w:type="spellStart"/>
      <w:r w:rsidRPr="007A2D4E">
        <w:rPr>
          <w:rFonts w:asciiTheme="minorHAnsi" w:hAnsiTheme="minorHAnsi"/>
          <w:sz w:val="22"/>
          <w:szCs w:val="22"/>
        </w:rPr>
        <w:t>illicit</w:t>
      </w:r>
      <w:proofErr w:type="spellEnd"/>
      <w:r w:rsidRPr="007A2D4E">
        <w:rPr>
          <w:rFonts w:asciiTheme="minorHAnsi" w:hAnsiTheme="minorHAnsi"/>
          <w:sz w:val="22"/>
          <w:szCs w:val="22"/>
        </w:rPr>
        <w:t xml:space="preserve"> drug </w:t>
      </w:r>
      <w:proofErr w:type="spellStart"/>
      <w:r w:rsidRPr="007A2D4E">
        <w:rPr>
          <w:rFonts w:asciiTheme="minorHAnsi" w:hAnsiTheme="minorHAnsi"/>
          <w:sz w:val="22"/>
          <w:szCs w:val="22"/>
        </w:rPr>
        <w:t>users</w:t>
      </w:r>
      <w:proofErr w:type="spellEnd"/>
      <w:r w:rsidRPr="007A2D4E">
        <w:rPr>
          <w:rFonts w:asciiTheme="minorHAnsi" w:hAnsiTheme="minorHAnsi"/>
          <w:sz w:val="22"/>
          <w:szCs w:val="22"/>
        </w:rPr>
        <w:t xml:space="preserve">: </w:t>
      </w:r>
      <w:proofErr w:type="spellStart"/>
      <w:r w:rsidRPr="007A2D4E">
        <w:rPr>
          <w:rFonts w:asciiTheme="minorHAnsi" w:hAnsiTheme="minorHAnsi"/>
          <w:sz w:val="22"/>
          <w:szCs w:val="22"/>
        </w:rPr>
        <w:t>epidemiology</w:t>
      </w:r>
      <w:proofErr w:type="spellEnd"/>
      <w:r w:rsidRPr="007A2D4E">
        <w:rPr>
          <w:rFonts w:asciiTheme="minorHAnsi" w:hAnsiTheme="minorHAnsi"/>
          <w:sz w:val="22"/>
          <w:szCs w:val="22"/>
        </w:rPr>
        <w:t xml:space="preserve">, </w:t>
      </w:r>
      <w:proofErr w:type="spellStart"/>
      <w:r w:rsidRPr="007A2D4E">
        <w:rPr>
          <w:rFonts w:asciiTheme="minorHAnsi" w:hAnsiTheme="minorHAnsi"/>
          <w:sz w:val="22"/>
          <w:szCs w:val="22"/>
        </w:rPr>
        <w:t>causes</w:t>
      </w:r>
      <w:proofErr w:type="spellEnd"/>
      <w:r w:rsidRPr="007A2D4E">
        <w:rPr>
          <w:rFonts w:asciiTheme="minorHAnsi" w:hAnsiTheme="minorHAnsi"/>
          <w:sz w:val="22"/>
          <w:szCs w:val="22"/>
        </w:rPr>
        <w:t xml:space="preserve"> </w:t>
      </w:r>
      <w:proofErr w:type="spellStart"/>
      <w:r w:rsidRPr="007A2D4E">
        <w:rPr>
          <w:rFonts w:asciiTheme="minorHAnsi" w:hAnsiTheme="minorHAnsi"/>
          <w:sz w:val="22"/>
          <w:szCs w:val="22"/>
        </w:rPr>
        <w:t>and</w:t>
      </w:r>
      <w:proofErr w:type="spellEnd"/>
      <w:r w:rsidRPr="007A2D4E">
        <w:rPr>
          <w:rFonts w:asciiTheme="minorHAnsi" w:hAnsiTheme="minorHAnsi"/>
          <w:sz w:val="22"/>
          <w:szCs w:val="22"/>
        </w:rPr>
        <w:t xml:space="preserve"> </w:t>
      </w:r>
      <w:proofErr w:type="spellStart"/>
      <w:r w:rsidRPr="007A2D4E">
        <w:rPr>
          <w:rFonts w:asciiTheme="minorHAnsi" w:hAnsiTheme="minorHAnsi"/>
          <w:sz w:val="22"/>
          <w:szCs w:val="22"/>
        </w:rPr>
        <w:t>intervention</w:t>
      </w:r>
      <w:proofErr w:type="spellEnd"/>
      <w:r w:rsidRPr="007A2D4E">
        <w:rPr>
          <w:rFonts w:asciiTheme="minorHAnsi" w:hAnsiTheme="minorHAnsi"/>
          <w:sz w:val="22"/>
          <w:szCs w:val="22"/>
        </w:rPr>
        <w:t xml:space="preserve">. Cambridge: Cambridge </w:t>
      </w:r>
      <w:proofErr w:type="spellStart"/>
      <w:r w:rsidRPr="007A2D4E">
        <w:rPr>
          <w:rFonts w:asciiTheme="minorHAnsi" w:hAnsiTheme="minorHAnsi"/>
          <w:sz w:val="22"/>
          <w:szCs w:val="22"/>
        </w:rPr>
        <w:t>University</w:t>
      </w:r>
      <w:proofErr w:type="spellEnd"/>
      <w:r w:rsidRPr="007A2D4E">
        <w:rPr>
          <w:rFonts w:asciiTheme="minorHAnsi" w:hAnsiTheme="minorHAnsi"/>
          <w:sz w:val="22"/>
          <w:szCs w:val="22"/>
        </w:rPr>
        <w:t xml:space="preserve"> </w:t>
      </w:r>
      <w:proofErr w:type="spellStart"/>
      <w:r w:rsidRPr="007A2D4E">
        <w:rPr>
          <w:rFonts w:asciiTheme="minorHAnsi" w:hAnsiTheme="minorHAnsi"/>
          <w:sz w:val="22"/>
          <w:szCs w:val="22"/>
        </w:rPr>
        <w:t>Press</w:t>
      </w:r>
      <w:proofErr w:type="spellEnd"/>
      <w:r w:rsidRPr="007A2D4E">
        <w:rPr>
          <w:rFonts w:asciiTheme="minorHAnsi" w:hAnsiTheme="minorHAnsi"/>
          <w:sz w:val="22"/>
          <w:szCs w:val="22"/>
        </w:rPr>
        <w:t>, 2007.</w:t>
      </w:r>
    </w:p>
    <w:p w:rsidR="00E01F77" w:rsidRPr="007A2D4E" w:rsidRDefault="00DA0126" w:rsidP="007A2D4E">
      <w:pPr>
        <w:pStyle w:val="Standard"/>
        <w:rPr>
          <w:rFonts w:asciiTheme="minorHAnsi" w:hAnsiTheme="minorHAnsi"/>
          <w:sz w:val="22"/>
          <w:szCs w:val="22"/>
        </w:rPr>
      </w:pPr>
      <w:r w:rsidRPr="007A2D4E">
        <w:rPr>
          <w:rFonts w:asciiTheme="minorHAnsi" w:hAnsiTheme="minorHAnsi"/>
          <w:sz w:val="22"/>
          <w:szCs w:val="22"/>
        </w:rPr>
        <w:t xml:space="preserve">Darke S, Ross J. </w:t>
      </w:r>
      <w:proofErr w:type="spellStart"/>
      <w:r w:rsidRPr="007A2D4E">
        <w:rPr>
          <w:rFonts w:asciiTheme="minorHAnsi" w:hAnsiTheme="minorHAnsi"/>
          <w:sz w:val="22"/>
          <w:szCs w:val="22"/>
        </w:rPr>
        <w:t>Suicide</w:t>
      </w:r>
      <w:proofErr w:type="spellEnd"/>
      <w:r w:rsidRPr="007A2D4E">
        <w:rPr>
          <w:rFonts w:asciiTheme="minorHAnsi" w:hAnsiTheme="minorHAnsi"/>
          <w:sz w:val="22"/>
          <w:szCs w:val="22"/>
        </w:rPr>
        <w:t xml:space="preserve"> </w:t>
      </w:r>
      <w:proofErr w:type="spellStart"/>
      <w:r w:rsidRPr="007A2D4E">
        <w:rPr>
          <w:rFonts w:asciiTheme="minorHAnsi" w:hAnsiTheme="minorHAnsi"/>
          <w:sz w:val="22"/>
          <w:szCs w:val="22"/>
        </w:rPr>
        <w:t>among</w:t>
      </w:r>
      <w:proofErr w:type="spellEnd"/>
      <w:r w:rsidRPr="007A2D4E">
        <w:rPr>
          <w:rFonts w:asciiTheme="minorHAnsi" w:hAnsiTheme="minorHAnsi"/>
          <w:sz w:val="22"/>
          <w:szCs w:val="22"/>
        </w:rPr>
        <w:t xml:space="preserve"> heroin </w:t>
      </w:r>
      <w:proofErr w:type="spellStart"/>
      <w:r w:rsidRPr="007A2D4E">
        <w:rPr>
          <w:rFonts w:asciiTheme="minorHAnsi" w:hAnsiTheme="minorHAnsi"/>
          <w:sz w:val="22"/>
          <w:szCs w:val="22"/>
        </w:rPr>
        <w:t>users</w:t>
      </w:r>
      <w:proofErr w:type="spellEnd"/>
      <w:r w:rsidRPr="007A2D4E">
        <w:rPr>
          <w:rFonts w:asciiTheme="minorHAnsi" w:hAnsiTheme="minorHAnsi"/>
          <w:sz w:val="22"/>
          <w:szCs w:val="22"/>
        </w:rPr>
        <w:t xml:space="preserve">: </w:t>
      </w:r>
      <w:proofErr w:type="spellStart"/>
      <w:r w:rsidRPr="007A2D4E">
        <w:rPr>
          <w:rFonts w:asciiTheme="minorHAnsi" w:hAnsiTheme="minorHAnsi"/>
          <w:sz w:val="22"/>
          <w:szCs w:val="22"/>
        </w:rPr>
        <w:t>rates</w:t>
      </w:r>
      <w:proofErr w:type="spellEnd"/>
      <w:r w:rsidRPr="007A2D4E">
        <w:rPr>
          <w:rFonts w:asciiTheme="minorHAnsi" w:hAnsiTheme="minorHAnsi"/>
          <w:sz w:val="22"/>
          <w:szCs w:val="22"/>
        </w:rPr>
        <w:t xml:space="preserve">, </w:t>
      </w:r>
      <w:proofErr w:type="spellStart"/>
      <w:r w:rsidRPr="007A2D4E">
        <w:rPr>
          <w:rFonts w:asciiTheme="minorHAnsi" w:hAnsiTheme="minorHAnsi"/>
          <w:sz w:val="22"/>
          <w:szCs w:val="22"/>
        </w:rPr>
        <w:t>risk</w:t>
      </w:r>
      <w:proofErr w:type="spellEnd"/>
      <w:r w:rsidRPr="007A2D4E">
        <w:rPr>
          <w:rFonts w:asciiTheme="minorHAnsi" w:hAnsiTheme="minorHAnsi"/>
          <w:sz w:val="22"/>
          <w:szCs w:val="22"/>
        </w:rPr>
        <w:t xml:space="preserve"> </w:t>
      </w:r>
      <w:proofErr w:type="spellStart"/>
      <w:r w:rsidRPr="007A2D4E">
        <w:rPr>
          <w:rFonts w:asciiTheme="minorHAnsi" w:hAnsiTheme="minorHAnsi"/>
          <w:sz w:val="22"/>
          <w:szCs w:val="22"/>
        </w:rPr>
        <w:t>factors</w:t>
      </w:r>
      <w:proofErr w:type="spellEnd"/>
      <w:r w:rsidRPr="007A2D4E">
        <w:rPr>
          <w:rFonts w:asciiTheme="minorHAnsi" w:hAnsiTheme="minorHAnsi"/>
          <w:sz w:val="22"/>
          <w:szCs w:val="22"/>
        </w:rPr>
        <w:t xml:space="preserve"> </w:t>
      </w:r>
      <w:proofErr w:type="spellStart"/>
      <w:r w:rsidRPr="007A2D4E">
        <w:rPr>
          <w:rFonts w:asciiTheme="minorHAnsi" w:hAnsiTheme="minorHAnsi"/>
          <w:sz w:val="22"/>
          <w:szCs w:val="22"/>
        </w:rPr>
        <w:t>and</w:t>
      </w:r>
      <w:proofErr w:type="spellEnd"/>
      <w:r w:rsidRPr="007A2D4E">
        <w:rPr>
          <w:rFonts w:asciiTheme="minorHAnsi" w:hAnsiTheme="minorHAnsi"/>
          <w:sz w:val="22"/>
          <w:szCs w:val="22"/>
        </w:rPr>
        <w:t xml:space="preserve"> </w:t>
      </w:r>
      <w:proofErr w:type="spellStart"/>
      <w:r w:rsidRPr="007A2D4E">
        <w:rPr>
          <w:rFonts w:asciiTheme="minorHAnsi" w:hAnsiTheme="minorHAnsi"/>
          <w:sz w:val="22"/>
          <w:szCs w:val="22"/>
        </w:rPr>
        <w:t>methods</w:t>
      </w:r>
      <w:proofErr w:type="spellEnd"/>
      <w:r w:rsidRPr="007A2D4E">
        <w:rPr>
          <w:rFonts w:asciiTheme="minorHAnsi" w:hAnsiTheme="minorHAnsi"/>
          <w:sz w:val="22"/>
          <w:szCs w:val="22"/>
        </w:rPr>
        <w:t xml:space="preserve">. </w:t>
      </w:r>
      <w:proofErr w:type="spellStart"/>
      <w:r w:rsidRPr="007A2D4E">
        <w:rPr>
          <w:rFonts w:asciiTheme="minorHAnsi" w:hAnsiTheme="minorHAnsi"/>
          <w:sz w:val="22"/>
          <w:szCs w:val="22"/>
        </w:rPr>
        <w:t>Addiction</w:t>
      </w:r>
      <w:proofErr w:type="spellEnd"/>
      <w:r w:rsidRPr="007A2D4E">
        <w:rPr>
          <w:rFonts w:asciiTheme="minorHAnsi" w:hAnsiTheme="minorHAnsi"/>
          <w:sz w:val="22"/>
          <w:szCs w:val="22"/>
        </w:rPr>
        <w:t xml:space="preserve"> 2002; 97(11):1383-94.</w:t>
      </w:r>
    </w:p>
    <w:p w:rsidR="00E01F77" w:rsidRPr="007A2D4E" w:rsidRDefault="00DA0126" w:rsidP="007A2D4E">
      <w:pPr>
        <w:pStyle w:val="Standard"/>
        <w:rPr>
          <w:rFonts w:asciiTheme="minorHAnsi" w:hAnsiTheme="minorHAnsi"/>
          <w:sz w:val="22"/>
          <w:szCs w:val="22"/>
        </w:rPr>
      </w:pPr>
      <w:r w:rsidRPr="007A2D4E">
        <w:rPr>
          <w:rFonts w:asciiTheme="minorHAnsi" w:hAnsiTheme="minorHAnsi"/>
          <w:sz w:val="22"/>
          <w:szCs w:val="22"/>
        </w:rPr>
        <w:t xml:space="preserve">Harris EC, </w:t>
      </w:r>
      <w:proofErr w:type="spellStart"/>
      <w:r w:rsidRPr="007A2D4E">
        <w:rPr>
          <w:rFonts w:asciiTheme="minorHAnsi" w:hAnsiTheme="minorHAnsi"/>
          <w:sz w:val="22"/>
          <w:szCs w:val="22"/>
        </w:rPr>
        <w:t>Barraclough</w:t>
      </w:r>
      <w:proofErr w:type="spellEnd"/>
      <w:r w:rsidRPr="007A2D4E">
        <w:rPr>
          <w:rFonts w:asciiTheme="minorHAnsi" w:hAnsiTheme="minorHAnsi"/>
          <w:sz w:val="22"/>
          <w:szCs w:val="22"/>
        </w:rPr>
        <w:t xml:space="preserve"> B. </w:t>
      </w:r>
      <w:proofErr w:type="spellStart"/>
      <w:r w:rsidRPr="007A2D4E">
        <w:rPr>
          <w:rFonts w:asciiTheme="minorHAnsi" w:hAnsiTheme="minorHAnsi"/>
          <w:sz w:val="22"/>
          <w:szCs w:val="22"/>
        </w:rPr>
        <w:t>Suicide</w:t>
      </w:r>
      <w:proofErr w:type="spellEnd"/>
      <w:r w:rsidRPr="007A2D4E">
        <w:rPr>
          <w:rFonts w:asciiTheme="minorHAnsi" w:hAnsiTheme="minorHAnsi"/>
          <w:sz w:val="22"/>
          <w:szCs w:val="22"/>
        </w:rPr>
        <w:t xml:space="preserve"> as </w:t>
      </w:r>
      <w:proofErr w:type="spellStart"/>
      <w:r w:rsidRPr="007A2D4E">
        <w:rPr>
          <w:rFonts w:asciiTheme="minorHAnsi" w:hAnsiTheme="minorHAnsi"/>
          <w:sz w:val="22"/>
          <w:szCs w:val="22"/>
        </w:rPr>
        <w:t>an</w:t>
      </w:r>
      <w:proofErr w:type="spellEnd"/>
      <w:r w:rsidRPr="007A2D4E">
        <w:rPr>
          <w:rFonts w:asciiTheme="minorHAnsi" w:hAnsiTheme="minorHAnsi"/>
          <w:sz w:val="22"/>
          <w:szCs w:val="22"/>
        </w:rPr>
        <w:t xml:space="preserve"> </w:t>
      </w:r>
      <w:proofErr w:type="spellStart"/>
      <w:r w:rsidRPr="007A2D4E">
        <w:rPr>
          <w:rFonts w:asciiTheme="minorHAnsi" w:hAnsiTheme="minorHAnsi"/>
          <w:sz w:val="22"/>
          <w:szCs w:val="22"/>
        </w:rPr>
        <w:t>outcome</w:t>
      </w:r>
      <w:proofErr w:type="spellEnd"/>
      <w:r w:rsidRPr="007A2D4E">
        <w:rPr>
          <w:rFonts w:asciiTheme="minorHAnsi" w:hAnsiTheme="minorHAnsi"/>
          <w:sz w:val="22"/>
          <w:szCs w:val="22"/>
        </w:rPr>
        <w:t xml:space="preserve"> </w:t>
      </w:r>
      <w:proofErr w:type="spellStart"/>
      <w:r w:rsidRPr="007A2D4E">
        <w:rPr>
          <w:rFonts w:asciiTheme="minorHAnsi" w:hAnsiTheme="minorHAnsi"/>
          <w:sz w:val="22"/>
          <w:szCs w:val="22"/>
        </w:rPr>
        <w:t>for</w:t>
      </w:r>
      <w:proofErr w:type="spellEnd"/>
      <w:r w:rsidRPr="007A2D4E">
        <w:rPr>
          <w:rFonts w:asciiTheme="minorHAnsi" w:hAnsiTheme="minorHAnsi"/>
          <w:sz w:val="22"/>
          <w:szCs w:val="22"/>
        </w:rPr>
        <w:t xml:space="preserve"> </w:t>
      </w:r>
      <w:proofErr w:type="spellStart"/>
      <w:r w:rsidRPr="007A2D4E">
        <w:rPr>
          <w:rFonts w:asciiTheme="minorHAnsi" w:hAnsiTheme="minorHAnsi"/>
          <w:sz w:val="22"/>
          <w:szCs w:val="22"/>
        </w:rPr>
        <w:t>mental</w:t>
      </w:r>
      <w:proofErr w:type="spellEnd"/>
      <w:r w:rsidRPr="007A2D4E">
        <w:rPr>
          <w:rFonts w:asciiTheme="minorHAnsi" w:hAnsiTheme="minorHAnsi"/>
          <w:sz w:val="22"/>
          <w:szCs w:val="22"/>
        </w:rPr>
        <w:t xml:space="preserve"> </w:t>
      </w:r>
      <w:proofErr w:type="spellStart"/>
      <w:r w:rsidRPr="007A2D4E">
        <w:rPr>
          <w:rFonts w:asciiTheme="minorHAnsi" w:hAnsiTheme="minorHAnsi"/>
          <w:sz w:val="22"/>
          <w:szCs w:val="22"/>
        </w:rPr>
        <w:t>disorders</w:t>
      </w:r>
      <w:proofErr w:type="spellEnd"/>
      <w:r w:rsidRPr="007A2D4E">
        <w:rPr>
          <w:rFonts w:asciiTheme="minorHAnsi" w:hAnsiTheme="minorHAnsi"/>
          <w:sz w:val="22"/>
          <w:szCs w:val="22"/>
        </w:rPr>
        <w:t>. A meta --</w:t>
      </w:r>
      <w:proofErr w:type="spellStart"/>
      <w:r w:rsidRPr="007A2D4E">
        <w:rPr>
          <w:rFonts w:asciiTheme="minorHAnsi" w:hAnsiTheme="minorHAnsi"/>
          <w:sz w:val="22"/>
          <w:szCs w:val="22"/>
        </w:rPr>
        <w:t>analysis</w:t>
      </w:r>
      <w:proofErr w:type="spellEnd"/>
      <w:r w:rsidRPr="007A2D4E">
        <w:rPr>
          <w:rFonts w:asciiTheme="minorHAnsi" w:hAnsiTheme="minorHAnsi"/>
          <w:sz w:val="22"/>
          <w:szCs w:val="22"/>
        </w:rPr>
        <w:t xml:space="preserve">. </w:t>
      </w:r>
      <w:proofErr w:type="spellStart"/>
      <w:r w:rsidRPr="007A2D4E">
        <w:rPr>
          <w:rFonts w:asciiTheme="minorHAnsi" w:hAnsiTheme="minorHAnsi"/>
          <w:sz w:val="22"/>
          <w:szCs w:val="22"/>
        </w:rPr>
        <w:t>British</w:t>
      </w:r>
      <w:proofErr w:type="spellEnd"/>
      <w:r w:rsidRPr="007A2D4E">
        <w:rPr>
          <w:rFonts w:asciiTheme="minorHAnsi" w:hAnsiTheme="minorHAnsi"/>
          <w:sz w:val="22"/>
          <w:szCs w:val="22"/>
        </w:rPr>
        <w:t xml:space="preserve"> </w:t>
      </w:r>
      <w:proofErr w:type="spellStart"/>
      <w:r w:rsidRPr="007A2D4E">
        <w:rPr>
          <w:rFonts w:asciiTheme="minorHAnsi" w:hAnsiTheme="minorHAnsi"/>
          <w:sz w:val="22"/>
          <w:szCs w:val="22"/>
        </w:rPr>
        <w:t>Journal</w:t>
      </w:r>
      <w:proofErr w:type="spellEnd"/>
      <w:r w:rsidRPr="007A2D4E">
        <w:rPr>
          <w:rFonts w:asciiTheme="minorHAnsi" w:hAnsiTheme="minorHAnsi"/>
          <w:sz w:val="22"/>
          <w:szCs w:val="22"/>
        </w:rPr>
        <w:t xml:space="preserve"> </w:t>
      </w:r>
      <w:proofErr w:type="spellStart"/>
      <w:r w:rsidRPr="007A2D4E">
        <w:rPr>
          <w:rFonts w:asciiTheme="minorHAnsi" w:hAnsiTheme="minorHAnsi"/>
          <w:sz w:val="22"/>
          <w:szCs w:val="22"/>
        </w:rPr>
        <w:t>of</w:t>
      </w:r>
      <w:proofErr w:type="spellEnd"/>
      <w:r w:rsidRPr="007A2D4E">
        <w:rPr>
          <w:rFonts w:asciiTheme="minorHAnsi" w:hAnsiTheme="minorHAnsi"/>
          <w:sz w:val="22"/>
          <w:szCs w:val="22"/>
        </w:rPr>
        <w:t xml:space="preserve"> </w:t>
      </w:r>
      <w:proofErr w:type="spellStart"/>
      <w:r w:rsidRPr="007A2D4E">
        <w:rPr>
          <w:rFonts w:asciiTheme="minorHAnsi" w:hAnsiTheme="minorHAnsi"/>
          <w:sz w:val="22"/>
          <w:szCs w:val="22"/>
        </w:rPr>
        <w:t>Psychiatry</w:t>
      </w:r>
      <w:proofErr w:type="spellEnd"/>
      <w:r w:rsidRPr="007A2D4E">
        <w:rPr>
          <w:rFonts w:asciiTheme="minorHAnsi" w:hAnsiTheme="minorHAnsi"/>
          <w:sz w:val="22"/>
          <w:szCs w:val="22"/>
        </w:rPr>
        <w:t xml:space="preserve"> 1997; 170: 205–28.</w:t>
      </w:r>
    </w:p>
    <w:p w:rsidR="00E01F77" w:rsidRPr="007A2D4E" w:rsidRDefault="00DA0126" w:rsidP="007A2D4E">
      <w:pPr>
        <w:pStyle w:val="Standard"/>
        <w:rPr>
          <w:rFonts w:asciiTheme="minorHAnsi" w:hAnsiTheme="minorHAnsi"/>
          <w:sz w:val="22"/>
          <w:szCs w:val="22"/>
        </w:rPr>
      </w:pPr>
      <w:r w:rsidRPr="007A2D4E">
        <w:rPr>
          <w:rFonts w:asciiTheme="minorHAnsi" w:hAnsiTheme="minorHAnsi"/>
          <w:sz w:val="22"/>
          <w:szCs w:val="22"/>
        </w:rPr>
        <w:t xml:space="preserve">Harris EC, </w:t>
      </w:r>
      <w:proofErr w:type="spellStart"/>
      <w:r w:rsidRPr="007A2D4E">
        <w:rPr>
          <w:rFonts w:asciiTheme="minorHAnsi" w:hAnsiTheme="minorHAnsi"/>
          <w:sz w:val="22"/>
          <w:szCs w:val="22"/>
        </w:rPr>
        <w:t>Barraclough</w:t>
      </w:r>
      <w:proofErr w:type="spellEnd"/>
      <w:r w:rsidRPr="007A2D4E">
        <w:rPr>
          <w:rFonts w:asciiTheme="minorHAnsi" w:hAnsiTheme="minorHAnsi"/>
          <w:sz w:val="22"/>
          <w:szCs w:val="22"/>
        </w:rPr>
        <w:t xml:space="preserve"> B. </w:t>
      </w:r>
      <w:proofErr w:type="spellStart"/>
      <w:r w:rsidRPr="007A2D4E">
        <w:rPr>
          <w:rFonts w:asciiTheme="minorHAnsi" w:hAnsiTheme="minorHAnsi"/>
          <w:sz w:val="22"/>
          <w:szCs w:val="22"/>
        </w:rPr>
        <w:t>Excess</w:t>
      </w:r>
      <w:proofErr w:type="spellEnd"/>
      <w:r w:rsidRPr="007A2D4E">
        <w:rPr>
          <w:rFonts w:asciiTheme="minorHAnsi" w:hAnsiTheme="minorHAnsi"/>
          <w:sz w:val="22"/>
          <w:szCs w:val="22"/>
        </w:rPr>
        <w:t xml:space="preserve"> </w:t>
      </w:r>
      <w:proofErr w:type="spellStart"/>
      <w:r w:rsidRPr="007A2D4E">
        <w:rPr>
          <w:rFonts w:asciiTheme="minorHAnsi" w:hAnsiTheme="minorHAnsi"/>
          <w:sz w:val="22"/>
          <w:szCs w:val="22"/>
        </w:rPr>
        <w:t>mortality</w:t>
      </w:r>
      <w:proofErr w:type="spellEnd"/>
      <w:r w:rsidRPr="007A2D4E">
        <w:rPr>
          <w:rFonts w:asciiTheme="minorHAnsi" w:hAnsiTheme="minorHAnsi"/>
          <w:sz w:val="22"/>
          <w:szCs w:val="22"/>
        </w:rPr>
        <w:t xml:space="preserve"> </w:t>
      </w:r>
      <w:proofErr w:type="spellStart"/>
      <w:r w:rsidRPr="007A2D4E">
        <w:rPr>
          <w:rFonts w:asciiTheme="minorHAnsi" w:hAnsiTheme="minorHAnsi"/>
          <w:sz w:val="22"/>
          <w:szCs w:val="22"/>
        </w:rPr>
        <w:t>of</w:t>
      </w:r>
      <w:proofErr w:type="spellEnd"/>
      <w:r w:rsidRPr="007A2D4E">
        <w:rPr>
          <w:rFonts w:asciiTheme="minorHAnsi" w:hAnsiTheme="minorHAnsi"/>
          <w:sz w:val="22"/>
          <w:szCs w:val="22"/>
        </w:rPr>
        <w:t xml:space="preserve"> </w:t>
      </w:r>
      <w:proofErr w:type="spellStart"/>
      <w:r w:rsidRPr="007A2D4E">
        <w:rPr>
          <w:rFonts w:asciiTheme="minorHAnsi" w:hAnsiTheme="minorHAnsi"/>
          <w:sz w:val="22"/>
          <w:szCs w:val="22"/>
        </w:rPr>
        <w:t>mental</w:t>
      </w:r>
      <w:proofErr w:type="spellEnd"/>
      <w:r w:rsidRPr="007A2D4E">
        <w:rPr>
          <w:rFonts w:asciiTheme="minorHAnsi" w:hAnsiTheme="minorHAnsi"/>
          <w:sz w:val="22"/>
          <w:szCs w:val="22"/>
        </w:rPr>
        <w:t xml:space="preserve"> </w:t>
      </w:r>
      <w:proofErr w:type="spellStart"/>
      <w:r w:rsidRPr="007A2D4E">
        <w:rPr>
          <w:rFonts w:asciiTheme="minorHAnsi" w:hAnsiTheme="minorHAnsi"/>
          <w:sz w:val="22"/>
          <w:szCs w:val="22"/>
        </w:rPr>
        <w:t>disorder</w:t>
      </w:r>
      <w:proofErr w:type="spellEnd"/>
      <w:r w:rsidRPr="007A2D4E">
        <w:rPr>
          <w:rFonts w:asciiTheme="minorHAnsi" w:hAnsiTheme="minorHAnsi"/>
          <w:sz w:val="22"/>
          <w:szCs w:val="22"/>
        </w:rPr>
        <w:t xml:space="preserve">. </w:t>
      </w:r>
      <w:proofErr w:type="spellStart"/>
      <w:r w:rsidRPr="007A2D4E">
        <w:rPr>
          <w:rFonts w:asciiTheme="minorHAnsi" w:hAnsiTheme="minorHAnsi"/>
          <w:sz w:val="22"/>
          <w:szCs w:val="22"/>
        </w:rPr>
        <w:t>British</w:t>
      </w:r>
      <w:proofErr w:type="spellEnd"/>
      <w:r w:rsidRPr="007A2D4E">
        <w:rPr>
          <w:rFonts w:asciiTheme="minorHAnsi" w:hAnsiTheme="minorHAnsi"/>
          <w:sz w:val="22"/>
          <w:szCs w:val="22"/>
        </w:rPr>
        <w:t xml:space="preserve"> </w:t>
      </w:r>
      <w:proofErr w:type="spellStart"/>
      <w:r w:rsidRPr="007A2D4E">
        <w:rPr>
          <w:rFonts w:asciiTheme="minorHAnsi" w:hAnsiTheme="minorHAnsi"/>
          <w:sz w:val="22"/>
          <w:szCs w:val="22"/>
        </w:rPr>
        <w:t>Journal</w:t>
      </w:r>
      <w:proofErr w:type="spellEnd"/>
      <w:r w:rsidRPr="007A2D4E">
        <w:rPr>
          <w:rFonts w:asciiTheme="minorHAnsi" w:hAnsiTheme="minorHAnsi"/>
          <w:sz w:val="22"/>
          <w:szCs w:val="22"/>
        </w:rPr>
        <w:t xml:space="preserve"> </w:t>
      </w:r>
      <w:proofErr w:type="spellStart"/>
      <w:r w:rsidRPr="007A2D4E">
        <w:rPr>
          <w:rFonts w:asciiTheme="minorHAnsi" w:hAnsiTheme="minorHAnsi"/>
          <w:sz w:val="22"/>
          <w:szCs w:val="22"/>
        </w:rPr>
        <w:t>of</w:t>
      </w:r>
      <w:proofErr w:type="spellEnd"/>
      <w:r w:rsidRPr="007A2D4E">
        <w:rPr>
          <w:rFonts w:asciiTheme="minorHAnsi" w:hAnsiTheme="minorHAnsi"/>
          <w:sz w:val="22"/>
          <w:szCs w:val="22"/>
        </w:rPr>
        <w:t xml:space="preserve"> </w:t>
      </w:r>
      <w:proofErr w:type="spellStart"/>
      <w:r w:rsidRPr="007A2D4E">
        <w:rPr>
          <w:rFonts w:asciiTheme="minorHAnsi" w:hAnsiTheme="minorHAnsi"/>
          <w:sz w:val="22"/>
          <w:szCs w:val="22"/>
        </w:rPr>
        <w:t>Psychiatry</w:t>
      </w:r>
      <w:proofErr w:type="spellEnd"/>
      <w:r w:rsidRPr="007A2D4E">
        <w:rPr>
          <w:rFonts w:asciiTheme="minorHAnsi" w:hAnsiTheme="minorHAnsi"/>
          <w:sz w:val="22"/>
          <w:szCs w:val="22"/>
        </w:rPr>
        <w:t xml:space="preserve"> 1998; 173: 11–53.</w:t>
      </w:r>
    </w:p>
    <w:p w:rsidR="00E01F77" w:rsidRPr="007A2D4E" w:rsidRDefault="00DA0126" w:rsidP="007A2D4E">
      <w:pPr>
        <w:pStyle w:val="Standard"/>
        <w:rPr>
          <w:rFonts w:asciiTheme="minorHAnsi" w:hAnsiTheme="minorHAnsi"/>
          <w:sz w:val="22"/>
          <w:szCs w:val="22"/>
        </w:rPr>
      </w:pPr>
      <w:r w:rsidRPr="007A2D4E">
        <w:rPr>
          <w:rFonts w:asciiTheme="minorHAnsi" w:hAnsiTheme="minorHAnsi"/>
          <w:sz w:val="22"/>
          <w:szCs w:val="22"/>
        </w:rPr>
        <w:t xml:space="preserve">WHO. First WHO </w:t>
      </w:r>
      <w:proofErr w:type="spellStart"/>
      <w:r w:rsidRPr="007A2D4E">
        <w:rPr>
          <w:rFonts w:asciiTheme="minorHAnsi" w:hAnsiTheme="minorHAnsi"/>
          <w:sz w:val="22"/>
          <w:szCs w:val="22"/>
        </w:rPr>
        <w:t>report</w:t>
      </w:r>
      <w:proofErr w:type="spellEnd"/>
      <w:r w:rsidRPr="007A2D4E">
        <w:rPr>
          <w:rFonts w:asciiTheme="minorHAnsi" w:hAnsiTheme="minorHAnsi"/>
          <w:sz w:val="22"/>
          <w:szCs w:val="22"/>
        </w:rPr>
        <w:t xml:space="preserve"> on </w:t>
      </w:r>
      <w:proofErr w:type="spellStart"/>
      <w:r w:rsidRPr="007A2D4E">
        <w:rPr>
          <w:rFonts w:asciiTheme="minorHAnsi" w:hAnsiTheme="minorHAnsi"/>
          <w:sz w:val="22"/>
          <w:szCs w:val="22"/>
        </w:rPr>
        <w:t>suicide</w:t>
      </w:r>
      <w:proofErr w:type="spellEnd"/>
      <w:r w:rsidRPr="007A2D4E">
        <w:rPr>
          <w:rFonts w:asciiTheme="minorHAnsi" w:hAnsiTheme="minorHAnsi"/>
          <w:sz w:val="22"/>
          <w:szCs w:val="22"/>
        </w:rPr>
        <w:t xml:space="preserve"> </w:t>
      </w:r>
      <w:proofErr w:type="spellStart"/>
      <w:r w:rsidRPr="007A2D4E">
        <w:rPr>
          <w:rFonts w:asciiTheme="minorHAnsi" w:hAnsiTheme="minorHAnsi"/>
          <w:sz w:val="22"/>
          <w:szCs w:val="22"/>
        </w:rPr>
        <w:t>prevention</w:t>
      </w:r>
      <w:proofErr w:type="spellEnd"/>
      <w:r w:rsidRPr="007A2D4E">
        <w:rPr>
          <w:rFonts w:asciiTheme="minorHAnsi" w:hAnsiTheme="minorHAnsi"/>
          <w:sz w:val="22"/>
          <w:szCs w:val="22"/>
        </w:rPr>
        <w:t xml:space="preserve">. WHO </w:t>
      </w:r>
      <w:proofErr w:type="spellStart"/>
      <w:r w:rsidRPr="007A2D4E">
        <w:rPr>
          <w:rFonts w:asciiTheme="minorHAnsi" w:hAnsiTheme="minorHAnsi"/>
          <w:sz w:val="22"/>
          <w:szCs w:val="22"/>
        </w:rPr>
        <w:t>calls</w:t>
      </w:r>
      <w:proofErr w:type="spellEnd"/>
      <w:r w:rsidRPr="007A2D4E">
        <w:rPr>
          <w:rFonts w:asciiTheme="minorHAnsi" w:hAnsiTheme="minorHAnsi"/>
          <w:sz w:val="22"/>
          <w:szCs w:val="22"/>
        </w:rPr>
        <w:t xml:space="preserve"> </w:t>
      </w:r>
      <w:proofErr w:type="spellStart"/>
      <w:r w:rsidRPr="007A2D4E">
        <w:rPr>
          <w:rFonts w:asciiTheme="minorHAnsi" w:hAnsiTheme="minorHAnsi"/>
          <w:sz w:val="22"/>
          <w:szCs w:val="22"/>
        </w:rPr>
        <w:t>for</w:t>
      </w:r>
      <w:proofErr w:type="spellEnd"/>
      <w:r w:rsidRPr="007A2D4E">
        <w:rPr>
          <w:rFonts w:asciiTheme="minorHAnsi" w:hAnsiTheme="minorHAnsi"/>
          <w:sz w:val="22"/>
          <w:szCs w:val="22"/>
        </w:rPr>
        <w:t xml:space="preserve"> </w:t>
      </w:r>
      <w:proofErr w:type="spellStart"/>
      <w:r w:rsidRPr="007A2D4E">
        <w:rPr>
          <w:rFonts w:asciiTheme="minorHAnsi" w:hAnsiTheme="minorHAnsi"/>
          <w:sz w:val="22"/>
          <w:szCs w:val="22"/>
        </w:rPr>
        <w:t>coordinated</w:t>
      </w:r>
      <w:proofErr w:type="spellEnd"/>
      <w:r w:rsidRPr="007A2D4E">
        <w:rPr>
          <w:rFonts w:asciiTheme="minorHAnsi" w:hAnsiTheme="minorHAnsi"/>
          <w:sz w:val="22"/>
          <w:szCs w:val="22"/>
        </w:rPr>
        <w:t xml:space="preserve"> </w:t>
      </w:r>
      <w:proofErr w:type="spellStart"/>
      <w:r w:rsidRPr="007A2D4E">
        <w:rPr>
          <w:rFonts w:asciiTheme="minorHAnsi" w:hAnsiTheme="minorHAnsi"/>
          <w:sz w:val="22"/>
          <w:szCs w:val="22"/>
        </w:rPr>
        <w:t>action</w:t>
      </w:r>
      <w:proofErr w:type="spellEnd"/>
      <w:r w:rsidRPr="007A2D4E">
        <w:rPr>
          <w:rFonts w:asciiTheme="minorHAnsi" w:hAnsiTheme="minorHAnsi"/>
          <w:sz w:val="22"/>
          <w:szCs w:val="22"/>
        </w:rPr>
        <w:t xml:space="preserve"> to </w:t>
      </w:r>
      <w:proofErr w:type="spellStart"/>
      <w:r w:rsidRPr="007A2D4E">
        <w:rPr>
          <w:rFonts w:asciiTheme="minorHAnsi" w:hAnsiTheme="minorHAnsi"/>
          <w:sz w:val="22"/>
          <w:szCs w:val="22"/>
        </w:rPr>
        <w:t>reduce</w:t>
      </w:r>
      <w:proofErr w:type="spellEnd"/>
      <w:r w:rsidRPr="007A2D4E">
        <w:rPr>
          <w:rFonts w:asciiTheme="minorHAnsi" w:hAnsiTheme="minorHAnsi"/>
          <w:sz w:val="22"/>
          <w:szCs w:val="22"/>
        </w:rPr>
        <w:t xml:space="preserve"> </w:t>
      </w:r>
      <w:proofErr w:type="spellStart"/>
      <w:r w:rsidRPr="007A2D4E">
        <w:rPr>
          <w:rFonts w:asciiTheme="minorHAnsi" w:hAnsiTheme="minorHAnsi"/>
          <w:sz w:val="22"/>
          <w:szCs w:val="22"/>
        </w:rPr>
        <w:t>suicides</w:t>
      </w:r>
      <w:proofErr w:type="spellEnd"/>
      <w:r w:rsidRPr="007A2D4E">
        <w:rPr>
          <w:rFonts w:asciiTheme="minorHAnsi" w:hAnsiTheme="minorHAnsi"/>
          <w:sz w:val="22"/>
          <w:szCs w:val="22"/>
        </w:rPr>
        <w:t xml:space="preserve"> </w:t>
      </w:r>
      <w:proofErr w:type="spellStart"/>
      <w:r w:rsidRPr="007A2D4E">
        <w:rPr>
          <w:rFonts w:asciiTheme="minorHAnsi" w:hAnsiTheme="minorHAnsi"/>
          <w:sz w:val="22"/>
          <w:szCs w:val="22"/>
        </w:rPr>
        <w:t>worldwide</w:t>
      </w:r>
      <w:proofErr w:type="spellEnd"/>
      <w:r w:rsidRPr="007A2D4E">
        <w:rPr>
          <w:rFonts w:asciiTheme="minorHAnsi" w:hAnsiTheme="minorHAnsi"/>
          <w:sz w:val="22"/>
          <w:szCs w:val="22"/>
        </w:rPr>
        <w:t xml:space="preserve">. Dosegljivo 4. 9. 2017 s spletne strani: </w:t>
      </w:r>
      <w:hyperlink r:id="rId8" w:history="1">
        <w:r w:rsidRPr="007A2D4E">
          <w:rPr>
            <w:rFonts w:asciiTheme="minorHAnsi" w:hAnsiTheme="minorHAnsi"/>
            <w:sz w:val="22"/>
            <w:szCs w:val="22"/>
          </w:rPr>
          <w:t>http://www.who.int/mediacentre/news/releases/2014/suicide-prevention-report/en/</w:t>
        </w:r>
      </w:hyperlink>
    </w:p>
    <w:p w:rsidR="00E01F77" w:rsidRPr="007A2D4E" w:rsidRDefault="00DA0126" w:rsidP="007A2D4E">
      <w:pPr>
        <w:pStyle w:val="Standard"/>
        <w:rPr>
          <w:rFonts w:asciiTheme="minorHAnsi" w:hAnsiTheme="minorHAnsi"/>
          <w:sz w:val="22"/>
          <w:szCs w:val="22"/>
        </w:rPr>
      </w:pPr>
      <w:proofErr w:type="spellStart"/>
      <w:r w:rsidRPr="007A2D4E">
        <w:rPr>
          <w:rFonts w:asciiTheme="minorHAnsi" w:hAnsiTheme="minorHAnsi"/>
          <w:sz w:val="22"/>
          <w:szCs w:val="22"/>
        </w:rPr>
        <w:t>Williamson</w:t>
      </w:r>
      <w:proofErr w:type="spellEnd"/>
      <w:r w:rsidRPr="007A2D4E">
        <w:rPr>
          <w:rFonts w:asciiTheme="minorHAnsi" w:hAnsiTheme="minorHAnsi"/>
          <w:sz w:val="22"/>
          <w:szCs w:val="22"/>
        </w:rPr>
        <w:t xml:space="preserve"> A, Ross J, </w:t>
      </w:r>
      <w:proofErr w:type="spellStart"/>
      <w:r w:rsidRPr="007A2D4E">
        <w:rPr>
          <w:rFonts w:asciiTheme="minorHAnsi" w:hAnsiTheme="minorHAnsi"/>
          <w:sz w:val="22"/>
          <w:szCs w:val="22"/>
        </w:rPr>
        <w:t>Teesson</w:t>
      </w:r>
      <w:proofErr w:type="spellEnd"/>
      <w:r w:rsidRPr="007A2D4E">
        <w:rPr>
          <w:rFonts w:asciiTheme="minorHAnsi" w:hAnsiTheme="minorHAnsi"/>
          <w:sz w:val="22"/>
          <w:szCs w:val="22"/>
        </w:rPr>
        <w:t xml:space="preserve"> M. </w:t>
      </w:r>
      <w:proofErr w:type="spellStart"/>
      <w:r w:rsidRPr="007A2D4E">
        <w:rPr>
          <w:rFonts w:asciiTheme="minorHAnsi" w:hAnsiTheme="minorHAnsi"/>
          <w:sz w:val="22"/>
          <w:szCs w:val="22"/>
        </w:rPr>
        <w:t>Attempted</w:t>
      </w:r>
      <w:proofErr w:type="spellEnd"/>
      <w:r w:rsidRPr="007A2D4E">
        <w:rPr>
          <w:rFonts w:asciiTheme="minorHAnsi" w:hAnsiTheme="minorHAnsi"/>
          <w:sz w:val="22"/>
          <w:szCs w:val="22"/>
        </w:rPr>
        <w:t xml:space="preserve"> </w:t>
      </w:r>
      <w:proofErr w:type="spellStart"/>
      <w:r w:rsidRPr="007A2D4E">
        <w:rPr>
          <w:rFonts w:asciiTheme="minorHAnsi" w:hAnsiTheme="minorHAnsi"/>
          <w:sz w:val="22"/>
          <w:szCs w:val="22"/>
        </w:rPr>
        <w:t>suicide</w:t>
      </w:r>
      <w:proofErr w:type="spellEnd"/>
      <w:r w:rsidRPr="007A2D4E">
        <w:rPr>
          <w:rFonts w:asciiTheme="minorHAnsi" w:hAnsiTheme="minorHAnsi"/>
          <w:sz w:val="22"/>
          <w:szCs w:val="22"/>
        </w:rPr>
        <w:t xml:space="preserve"> </w:t>
      </w:r>
      <w:proofErr w:type="spellStart"/>
      <w:r w:rsidRPr="007A2D4E">
        <w:rPr>
          <w:rFonts w:asciiTheme="minorHAnsi" w:hAnsiTheme="minorHAnsi"/>
          <w:sz w:val="22"/>
          <w:szCs w:val="22"/>
        </w:rPr>
        <w:t>among</w:t>
      </w:r>
      <w:proofErr w:type="spellEnd"/>
      <w:r w:rsidRPr="007A2D4E">
        <w:rPr>
          <w:rFonts w:asciiTheme="minorHAnsi" w:hAnsiTheme="minorHAnsi"/>
          <w:sz w:val="22"/>
          <w:szCs w:val="22"/>
        </w:rPr>
        <w:t xml:space="preserve"> heroin </w:t>
      </w:r>
      <w:proofErr w:type="spellStart"/>
      <w:r w:rsidRPr="007A2D4E">
        <w:rPr>
          <w:rFonts w:asciiTheme="minorHAnsi" w:hAnsiTheme="minorHAnsi"/>
          <w:sz w:val="22"/>
          <w:szCs w:val="22"/>
        </w:rPr>
        <w:t>users</w:t>
      </w:r>
      <w:proofErr w:type="spellEnd"/>
      <w:r w:rsidRPr="007A2D4E">
        <w:rPr>
          <w:rFonts w:asciiTheme="minorHAnsi" w:hAnsiTheme="minorHAnsi"/>
          <w:sz w:val="22"/>
          <w:szCs w:val="22"/>
        </w:rPr>
        <w:t>: 12-</w:t>
      </w:r>
      <w:proofErr w:type="spellStart"/>
      <w:r w:rsidRPr="007A2D4E">
        <w:rPr>
          <w:rFonts w:asciiTheme="minorHAnsi" w:hAnsiTheme="minorHAnsi"/>
          <w:sz w:val="22"/>
          <w:szCs w:val="22"/>
        </w:rPr>
        <w:t>month</w:t>
      </w:r>
      <w:proofErr w:type="spellEnd"/>
      <w:r w:rsidRPr="007A2D4E">
        <w:rPr>
          <w:rFonts w:asciiTheme="minorHAnsi" w:hAnsiTheme="minorHAnsi"/>
          <w:sz w:val="22"/>
          <w:szCs w:val="22"/>
        </w:rPr>
        <w:t xml:space="preserve"> </w:t>
      </w:r>
      <w:proofErr w:type="spellStart"/>
      <w:r w:rsidRPr="007A2D4E">
        <w:rPr>
          <w:rFonts w:asciiTheme="minorHAnsi" w:hAnsiTheme="minorHAnsi"/>
          <w:sz w:val="22"/>
          <w:szCs w:val="22"/>
        </w:rPr>
        <w:t>outcomes</w:t>
      </w:r>
      <w:proofErr w:type="spellEnd"/>
      <w:r w:rsidRPr="007A2D4E">
        <w:rPr>
          <w:rFonts w:asciiTheme="minorHAnsi" w:hAnsiTheme="minorHAnsi"/>
          <w:sz w:val="22"/>
          <w:szCs w:val="22"/>
        </w:rPr>
        <w:t xml:space="preserve"> </w:t>
      </w:r>
      <w:proofErr w:type="spellStart"/>
      <w:r w:rsidRPr="007A2D4E">
        <w:rPr>
          <w:rFonts w:asciiTheme="minorHAnsi" w:hAnsiTheme="minorHAnsi"/>
          <w:sz w:val="22"/>
          <w:szCs w:val="22"/>
        </w:rPr>
        <w:t>from</w:t>
      </w:r>
      <w:proofErr w:type="spellEnd"/>
      <w:r w:rsidRPr="007A2D4E">
        <w:rPr>
          <w:rFonts w:asciiTheme="minorHAnsi" w:hAnsiTheme="minorHAnsi"/>
          <w:sz w:val="22"/>
          <w:szCs w:val="22"/>
        </w:rPr>
        <w:t xml:space="preserve"> </w:t>
      </w:r>
      <w:proofErr w:type="spellStart"/>
      <w:r w:rsidRPr="007A2D4E">
        <w:rPr>
          <w:rFonts w:asciiTheme="minorHAnsi" w:hAnsiTheme="minorHAnsi"/>
          <w:sz w:val="22"/>
          <w:szCs w:val="22"/>
        </w:rPr>
        <w:t>the</w:t>
      </w:r>
      <w:proofErr w:type="spellEnd"/>
      <w:r w:rsidRPr="007A2D4E">
        <w:rPr>
          <w:rFonts w:asciiTheme="minorHAnsi" w:hAnsiTheme="minorHAnsi"/>
          <w:sz w:val="22"/>
          <w:szCs w:val="22"/>
        </w:rPr>
        <w:t xml:space="preserve"> </w:t>
      </w:r>
      <w:proofErr w:type="spellStart"/>
      <w:r w:rsidRPr="007A2D4E">
        <w:rPr>
          <w:rFonts w:asciiTheme="minorHAnsi" w:hAnsiTheme="minorHAnsi"/>
          <w:sz w:val="22"/>
          <w:szCs w:val="22"/>
        </w:rPr>
        <w:t>Australian</w:t>
      </w:r>
      <w:proofErr w:type="spellEnd"/>
      <w:r w:rsidRPr="007A2D4E">
        <w:rPr>
          <w:rFonts w:asciiTheme="minorHAnsi" w:hAnsiTheme="minorHAnsi"/>
          <w:sz w:val="22"/>
          <w:szCs w:val="22"/>
        </w:rPr>
        <w:t xml:space="preserve"> </w:t>
      </w:r>
      <w:proofErr w:type="spellStart"/>
      <w:r w:rsidRPr="007A2D4E">
        <w:rPr>
          <w:rFonts w:asciiTheme="minorHAnsi" w:hAnsiTheme="minorHAnsi"/>
          <w:sz w:val="22"/>
          <w:szCs w:val="22"/>
        </w:rPr>
        <w:t>Treatment</w:t>
      </w:r>
      <w:proofErr w:type="spellEnd"/>
      <w:r w:rsidRPr="007A2D4E">
        <w:rPr>
          <w:rFonts w:asciiTheme="minorHAnsi" w:hAnsiTheme="minorHAnsi"/>
          <w:sz w:val="22"/>
          <w:szCs w:val="22"/>
        </w:rPr>
        <w:t xml:space="preserve"> </w:t>
      </w:r>
      <w:proofErr w:type="spellStart"/>
      <w:r w:rsidRPr="007A2D4E">
        <w:rPr>
          <w:rFonts w:asciiTheme="minorHAnsi" w:hAnsiTheme="minorHAnsi"/>
          <w:sz w:val="22"/>
          <w:szCs w:val="22"/>
        </w:rPr>
        <w:t>Outcome</w:t>
      </w:r>
      <w:proofErr w:type="spellEnd"/>
      <w:r w:rsidRPr="007A2D4E">
        <w:rPr>
          <w:rFonts w:asciiTheme="minorHAnsi" w:hAnsiTheme="minorHAnsi"/>
          <w:sz w:val="22"/>
          <w:szCs w:val="22"/>
        </w:rPr>
        <w:t xml:space="preserve"> </w:t>
      </w:r>
      <w:proofErr w:type="spellStart"/>
      <w:r w:rsidRPr="007A2D4E">
        <w:rPr>
          <w:rFonts w:asciiTheme="minorHAnsi" w:hAnsiTheme="minorHAnsi"/>
          <w:sz w:val="22"/>
          <w:szCs w:val="22"/>
        </w:rPr>
        <w:t>Study</w:t>
      </w:r>
      <w:proofErr w:type="spellEnd"/>
      <w:r w:rsidRPr="007A2D4E">
        <w:rPr>
          <w:rFonts w:asciiTheme="minorHAnsi" w:hAnsiTheme="minorHAnsi"/>
          <w:sz w:val="22"/>
          <w:szCs w:val="22"/>
        </w:rPr>
        <w:t xml:space="preserve"> (ATOS). Drug </w:t>
      </w:r>
      <w:proofErr w:type="spellStart"/>
      <w:r w:rsidRPr="007A2D4E">
        <w:rPr>
          <w:rFonts w:asciiTheme="minorHAnsi" w:hAnsiTheme="minorHAnsi"/>
          <w:sz w:val="22"/>
          <w:szCs w:val="22"/>
        </w:rPr>
        <w:t>Alcohol</w:t>
      </w:r>
      <w:proofErr w:type="spellEnd"/>
      <w:r w:rsidRPr="007A2D4E">
        <w:rPr>
          <w:rFonts w:asciiTheme="minorHAnsi" w:hAnsiTheme="minorHAnsi"/>
          <w:sz w:val="22"/>
          <w:szCs w:val="22"/>
        </w:rPr>
        <w:t xml:space="preserve"> </w:t>
      </w:r>
      <w:proofErr w:type="spellStart"/>
      <w:r w:rsidRPr="007A2D4E">
        <w:rPr>
          <w:rFonts w:asciiTheme="minorHAnsi" w:hAnsiTheme="minorHAnsi"/>
          <w:sz w:val="22"/>
          <w:szCs w:val="22"/>
        </w:rPr>
        <w:t>Depend</w:t>
      </w:r>
      <w:proofErr w:type="spellEnd"/>
      <w:r w:rsidRPr="007A2D4E">
        <w:rPr>
          <w:rFonts w:asciiTheme="minorHAnsi" w:hAnsiTheme="minorHAnsi"/>
          <w:sz w:val="22"/>
          <w:szCs w:val="22"/>
        </w:rPr>
        <w:t xml:space="preserve"> 2005; 78(2): 177–86.</w:t>
      </w:r>
    </w:p>
    <w:p w:rsidR="00E01F77" w:rsidRPr="007A2D4E" w:rsidRDefault="00E01F77" w:rsidP="007A2D4E">
      <w:pPr>
        <w:pStyle w:val="Standard"/>
        <w:rPr>
          <w:rFonts w:asciiTheme="minorHAnsi" w:hAnsiTheme="minorHAnsi"/>
          <w:sz w:val="22"/>
          <w:szCs w:val="22"/>
        </w:rPr>
      </w:pPr>
    </w:p>
    <w:p w:rsidR="00E01F77" w:rsidRPr="007A2D4E" w:rsidRDefault="007A2D4E" w:rsidP="007A2D4E">
      <w:pPr>
        <w:pStyle w:val="Standard"/>
        <w:jc w:val="center"/>
        <w:rPr>
          <w:rFonts w:asciiTheme="minorHAnsi" w:hAnsiTheme="minorHAnsi"/>
          <w:sz w:val="22"/>
          <w:szCs w:val="22"/>
        </w:rPr>
      </w:pPr>
      <w:r>
        <w:rPr>
          <w:rFonts w:asciiTheme="minorHAnsi" w:hAnsiTheme="minorHAnsi"/>
          <w:sz w:val="22"/>
          <w:szCs w:val="22"/>
        </w:rPr>
        <w:t>***</w:t>
      </w:r>
    </w:p>
    <w:p w:rsidR="00E01F77" w:rsidRPr="007A2D4E" w:rsidRDefault="00E01F77">
      <w:pPr>
        <w:pStyle w:val="Standard"/>
        <w:jc w:val="both"/>
        <w:rPr>
          <w:rFonts w:asciiTheme="minorHAnsi" w:hAnsiTheme="minorHAnsi"/>
          <w:sz w:val="22"/>
          <w:szCs w:val="22"/>
        </w:rPr>
      </w:pPr>
    </w:p>
    <w:p w:rsidR="00E01F77" w:rsidRPr="007A2D4E" w:rsidRDefault="00E01F77">
      <w:pPr>
        <w:pStyle w:val="Standard"/>
        <w:jc w:val="both"/>
        <w:rPr>
          <w:rFonts w:asciiTheme="minorHAnsi" w:hAnsiTheme="minorHAnsi"/>
          <w:sz w:val="22"/>
          <w:szCs w:val="22"/>
        </w:rPr>
      </w:pPr>
    </w:p>
    <w:p w:rsidR="00E01F77" w:rsidRPr="007A2D4E" w:rsidRDefault="00E01F77">
      <w:pPr>
        <w:pStyle w:val="Standard"/>
        <w:jc w:val="both"/>
        <w:rPr>
          <w:rFonts w:asciiTheme="minorHAnsi" w:hAnsiTheme="minorHAnsi"/>
          <w:sz w:val="22"/>
          <w:szCs w:val="22"/>
        </w:rPr>
      </w:pPr>
      <w:bookmarkStart w:id="0" w:name="_GoBack"/>
      <w:bookmarkEnd w:id="0"/>
    </w:p>
    <w:sectPr w:rsidR="00E01F77" w:rsidRPr="007A2D4E">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18A" w:rsidRDefault="002F118A">
      <w:pPr>
        <w:rPr>
          <w:rFonts w:hint="eastAsia"/>
        </w:rPr>
      </w:pPr>
      <w:r>
        <w:separator/>
      </w:r>
    </w:p>
  </w:endnote>
  <w:endnote w:type="continuationSeparator" w:id="0">
    <w:p w:rsidR="002F118A" w:rsidRDefault="002F118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18A" w:rsidRDefault="002F118A">
      <w:pPr>
        <w:rPr>
          <w:rFonts w:hint="eastAsia"/>
        </w:rPr>
      </w:pPr>
      <w:r>
        <w:rPr>
          <w:color w:val="000000"/>
        </w:rPr>
        <w:separator/>
      </w:r>
    </w:p>
  </w:footnote>
  <w:footnote w:type="continuationSeparator" w:id="0">
    <w:p w:rsidR="002F118A" w:rsidRDefault="002F118A">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45695"/>
    <w:multiLevelType w:val="hybridMultilevel"/>
    <w:tmpl w:val="AA2E36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01F77"/>
    <w:rsid w:val="002F118A"/>
    <w:rsid w:val="004804AB"/>
    <w:rsid w:val="007A2D4E"/>
    <w:rsid w:val="00C609DA"/>
    <w:rsid w:val="00C86D01"/>
    <w:rsid w:val="00DA0126"/>
    <w:rsid w:val="00E01F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sl-SI"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Seznam">
    <w:name w:val="List"/>
    <w:basedOn w:val="Textbody"/>
  </w:style>
  <w:style w:type="paragraph" w:styleId="Napis">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rPr>
      <w:rFonts w:ascii="Times New Roman" w:hAnsi="Times New Roman"/>
      <w:color w:val="000000"/>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sl-SI"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Seznam">
    <w:name w:val="List"/>
    <w:basedOn w:val="Textbody"/>
  </w:style>
  <w:style w:type="paragraph" w:styleId="Napis">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rPr>
      <w:rFonts w:ascii="Times New Roman" w:hAnsi="Times New Roman"/>
      <w:color w:val="000000"/>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ho.int/mediacentre/news/releases/2014/suicide-prevention-report/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699</Words>
  <Characters>3986</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Lovrečič</dc:creator>
  <cp:lastModifiedBy>Samo Belavič</cp:lastModifiedBy>
  <cp:revision>3</cp:revision>
  <dcterms:created xsi:type="dcterms:W3CDTF">2017-08-16T16:01:00Z</dcterms:created>
  <dcterms:modified xsi:type="dcterms:W3CDTF">2017-09-05T07:40:00Z</dcterms:modified>
</cp:coreProperties>
</file>