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CD" w:rsidRPr="00113FCD" w:rsidRDefault="00113FCD" w:rsidP="00113FCD">
      <w:pPr>
        <w:spacing w:after="0" w:line="360" w:lineRule="auto"/>
        <w:jc w:val="both"/>
        <w:rPr>
          <w:rFonts w:asciiTheme="minorHAnsi" w:hAnsiTheme="minorHAnsi"/>
        </w:rPr>
      </w:pPr>
      <w:bookmarkStart w:id="0" w:name="_GoBack"/>
      <w:r w:rsidRPr="00113FCD">
        <w:rPr>
          <w:rFonts w:asciiTheme="minorHAnsi" w:hAnsiTheme="minorHAnsi"/>
          <w:b/>
        </w:rPr>
        <w:t>PRILOGA 3 -</w:t>
      </w:r>
      <w:r w:rsidRPr="00113FCD">
        <w:rPr>
          <w:rFonts w:asciiTheme="minorHAnsi" w:hAnsiTheme="minorHAnsi"/>
        </w:rPr>
        <w:t xml:space="preserve"> </w:t>
      </w:r>
      <w:r w:rsidRPr="00113FCD">
        <w:rPr>
          <w:rFonts w:asciiTheme="minorHAnsi" w:hAnsiTheme="minorHAnsi"/>
          <w:b/>
        </w:rPr>
        <w:t>Podatki o samomoru v Sloveniji in trend samomorilnosti</w:t>
      </w:r>
    </w:p>
    <w:bookmarkEnd w:id="0"/>
    <w:p w:rsidR="00113FCD" w:rsidRDefault="00113FCD" w:rsidP="00113FCD">
      <w:pPr>
        <w:spacing w:after="0" w:line="360" w:lineRule="auto"/>
        <w:jc w:val="both"/>
        <w:rPr>
          <w:rFonts w:asciiTheme="minorHAnsi" w:hAnsiTheme="minorHAnsi"/>
          <w:b/>
          <w:u w:val="single"/>
        </w:rPr>
      </w:pPr>
    </w:p>
    <w:p w:rsidR="00113FCD" w:rsidRPr="00113FCD" w:rsidRDefault="00113FCD" w:rsidP="00113FCD">
      <w:pPr>
        <w:spacing w:after="0" w:line="360" w:lineRule="auto"/>
        <w:jc w:val="both"/>
        <w:rPr>
          <w:rFonts w:asciiTheme="minorHAnsi" w:hAnsiTheme="minorHAnsi"/>
          <w:b/>
          <w:u w:val="single"/>
        </w:rPr>
      </w:pPr>
      <w:r w:rsidRPr="00113FCD">
        <w:rPr>
          <w:rFonts w:asciiTheme="minorHAnsi" w:hAnsiTheme="minorHAnsi"/>
          <w:b/>
          <w:u w:val="single"/>
        </w:rPr>
        <w:t>Statistika umrljivosti zaradi samomora v Sloveniji v letu 2016</w:t>
      </w:r>
    </w:p>
    <w:p w:rsidR="00113FCD" w:rsidRPr="00113FCD" w:rsidRDefault="00113FCD" w:rsidP="00113FCD">
      <w:pPr>
        <w:spacing w:after="0" w:line="360" w:lineRule="auto"/>
        <w:jc w:val="both"/>
        <w:rPr>
          <w:rFonts w:asciiTheme="minorHAnsi" w:hAnsiTheme="minorHAnsi"/>
        </w:rPr>
      </w:pPr>
      <w:r w:rsidRPr="00113FCD">
        <w:rPr>
          <w:rFonts w:asciiTheme="minorHAnsi" w:hAnsiTheme="minorHAnsi"/>
        </w:rPr>
        <w:t xml:space="preserve">Leta 2016 je samomorilni količnik v Sloveniji (število umrlih zaradi samomora na 100.000 prebivalcev) znašal 17,97 (28,71 za moške in 7,40 za ženske). V absolutnih številkah to pomeni, da je za posledicami samomora lansko leto umrlo 371 oseb (294 moških in 77 žensk). Razmerje med moškimi in ženskimi samomori je znašalo 3,8. Samomorilni količnik, ki smo ga zabeležili v letu 2016, je najnižji v zadnjih nekaj desetletjih in precej pod dolgoletnim povprečjem. Zato lahko rečemo, da </w:t>
      </w:r>
      <w:r w:rsidRPr="00113FCD">
        <w:rPr>
          <w:rFonts w:asciiTheme="minorHAnsi" w:hAnsiTheme="minorHAnsi"/>
          <w:b/>
        </w:rPr>
        <w:t>trend upada samomorilnega količnika v Sloveniji vzdržujemo</w:t>
      </w:r>
      <w:r w:rsidRPr="00113FCD">
        <w:rPr>
          <w:rFonts w:asciiTheme="minorHAnsi" w:hAnsiTheme="minorHAnsi"/>
        </w:rPr>
        <w:t xml:space="preserve"> (Tabela 1 in 2). Razlogi za upad samomorilnega količnika so lahko večplastni. V zadnjih nekaj letih so se okrepile preventivne dejavnosti (ozaveščanje splošne javnosti, aktivnosti </w:t>
      </w:r>
      <w:proofErr w:type="spellStart"/>
      <w:r w:rsidRPr="00113FCD">
        <w:rPr>
          <w:rFonts w:asciiTheme="minorHAnsi" w:hAnsiTheme="minorHAnsi"/>
        </w:rPr>
        <w:t>destigmatizacije</w:t>
      </w:r>
      <w:proofErr w:type="spellEnd"/>
      <w:r w:rsidRPr="00113FCD">
        <w:rPr>
          <w:rFonts w:asciiTheme="minorHAnsi" w:hAnsiTheme="minorHAnsi"/>
        </w:rPr>
        <w:t>, delo na krepitvi veščin in kompetenc za prepoznavanje in obravnavo samomorilno ogroženih pri različnih ciljnih skupinah – splošna javnost, različni profili strokovnjakov…), povečala pa se je tudi dostopnost do pomoči, predvsem v nevladnem sektorju.</w:t>
      </w:r>
    </w:p>
    <w:p w:rsidR="00113FCD" w:rsidRPr="00113FCD" w:rsidRDefault="00113FCD" w:rsidP="00113FCD">
      <w:pPr>
        <w:spacing w:after="0" w:line="360" w:lineRule="auto"/>
        <w:jc w:val="both"/>
        <w:rPr>
          <w:rFonts w:asciiTheme="minorHAnsi" w:hAnsiTheme="minorHAnsi"/>
        </w:rPr>
      </w:pPr>
      <w:r w:rsidRPr="00113FCD">
        <w:rPr>
          <w:rFonts w:asciiTheme="minorHAnsi" w:hAnsiTheme="minorHAnsi"/>
        </w:rPr>
        <w:t xml:space="preserve">Dejstvo, da je v zadnjih nekaj letih umrljivost zaradi samomora v Sloveniji precej upadla, je </w:t>
      </w:r>
      <w:proofErr w:type="spellStart"/>
      <w:r w:rsidRPr="00113FCD">
        <w:rPr>
          <w:rFonts w:asciiTheme="minorHAnsi" w:hAnsiTheme="minorHAnsi"/>
        </w:rPr>
        <w:t>vzpodbuda</w:t>
      </w:r>
      <w:proofErr w:type="spellEnd"/>
      <w:r w:rsidRPr="00113FCD">
        <w:rPr>
          <w:rFonts w:asciiTheme="minorHAnsi" w:hAnsiTheme="minorHAnsi"/>
        </w:rPr>
        <w:t xml:space="preserve"> za nadaljevanje dela na področju preprečevanja samomora. Samomor v Sloveniji namreč še vedno predstavlja velik javnozdravstveni problem, gledano širše, pa Slovenija še vedno sodi med tiste države, ki so zaradi samomora bolj ogrožene. Glede na umrljivost zaradi samomora je Slovenija namreč še vedno nad evropskim povprečjem, kjer pa je v zadnjih nekaj letih podobno kot v Sloveniji, opaziti precejšen upad umrljivosti zaradi samomora. V Sloveniji je podobno kot drugod po svetu višji količnik samomora opaziti z naraščanjem starosti (Tabela 3) in v vzhodnih statističnih regijah (Koroška, Savinjska), medtem ko je pojavnost samomora v vzhodnih statističnih regijah nižja (Tabela 4).</w:t>
      </w: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Default="00113FCD" w:rsidP="00113FCD">
      <w:pPr>
        <w:spacing w:after="0" w:line="360" w:lineRule="auto"/>
        <w:jc w:val="both"/>
        <w:rPr>
          <w:rFonts w:asciiTheme="minorHAnsi" w:hAnsiTheme="minorHAnsi"/>
          <w:b/>
          <w:bCs/>
        </w:rPr>
      </w:pPr>
    </w:p>
    <w:p w:rsidR="00113FCD" w:rsidRPr="00113FCD" w:rsidRDefault="00113FCD" w:rsidP="00113FCD">
      <w:pPr>
        <w:spacing w:after="0" w:line="360" w:lineRule="auto"/>
        <w:jc w:val="both"/>
        <w:rPr>
          <w:rFonts w:asciiTheme="minorHAnsi" w:hAnsiTheme="minorHAnsi"/>
        </w:rPr>
      </w:pPr>
      <w:r w:rsidRPr="00113FCD">
        <w:rPr>
          <w:rFonts w:asciiTheme="minorHAnsi" w:hAnsiTheme="minorHAnsi"/>
          <w:b/>
          <w:bCs/>
        </w:rPr>
        <w:lastRenderedPageBreak/>
        <w:t xml:space="preserve">Tabela 1. Količnik samomora (število umrlih zaradi samomora na 100 000 prebivalcev letno ) v Sloveniji  od leta 2003 – 2016 (skupaj, moški, ženske; Vir: Baza umrlih NIJZ) </w:t>
      </w:r>
    </w:p>
    <w:tbl>
      <w:tblPr>
        <w:tblW w:w="54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0"/>
        <w:gridCol w:w="1000"/>
        <w:gridCol w:w="1000"/>
        <w:gridCol w:w="1000"/>
        <w:gridCol w:w="1442"/>
      </w:tblGrid>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leto</w:t>
            </w:r>
          </w:p>
        </w:tc>
        <w:tc>
          <w:tcPr>
            <w:tcW w:w="100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skupaj</w:t>
            </w:r>
          </w:p>
        </w:tc>
        <w:tc>
          <w:tcPr>
            <w:tcW w:w="100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moški</w:t>
            </w:r>
          </w:p>
        </w:tc>
        <w:tc>
          <w:tcPr>
            <w:tcW w:w="100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ženske</w:t>
            </w:r>
          </w:p>
        </w:tc>
        <w:tc>
          <w:tcPr>
            <w:tcW w:w="1442" w:type="dxa"/>
            <w:shd w:val="clear" w:color="auto" w:fill="C2D69B" w:themeFill="accent3" w:themeFillTint="99"/>
            <w:noWrap/>
            <w:vAlign w:val="bottom"/>
          </w:tcPr>
          <w:p w:rsidR="00113FCD" w:rsidRPr="00113FCD" w:rsidRDefault="00113FCD" w:rsidP="00113FCD">
            <w:pPr>
              <w:spacing w:after="0" w:line="360" w:lineRule="auto"/>
              <w:rPr>
                <w:rFonts w:asciiTheme="minorHAnsi" w:hAnsiTheme="minorHAnsi" w:cs="Arial"/>
                <w:b/>
                <w:bCs/>
                <w:lang w:eastAsia="sl-SI"/>
              </w:rPr>
            </w:pPr>
            <w:r w:rsidRPr="00113FCD">
              <w:rPr>
                <w:rFonts w:asciiTheme="minorHAnsi" w:hAnsiTheme="minorHAnsi" w:cs="Arial"/>
                <w:b/>
                <w:bCs/>
                <w:lang w:eastAsia="sl-SI"/>
              </w:rPr>
              <w:t>Razmerje m/ž</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2003</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28,15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45,02</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11,97</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3,8</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2004</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25,64</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37,87</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13,92</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2,7</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25,19</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40,02</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10,98</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3,6</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2006</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26,5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42,5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11,2</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3,8</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2007</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21,5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33,7</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9,7</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3,5</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2008</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20,05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32,11</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8,18</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3,9</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2009</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21,94</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34,69</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9,41</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3,7</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2010</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20,3</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33,11</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7,73</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4,3</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2011</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21,29</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34,27</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8,58</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3,9</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2012</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21,40</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35,67</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7,70</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4,6</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2013</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21,76</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35,42</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8,37</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4,2</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2014</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18,81</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31,79</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6,05</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5,2</w:t>
            </w:r>
          </w:p>
        </w:tc>
      </w:tr>
      <w:tr w:rsidR="00113FCD" w:rsidRPr="00113FCD" w:rsidTr="005C15C7">
        <w:trPr>
          <w:trHeight w:val="255"/>
        </w:trPr>
        <w:tc>
          <w:tcPr>
            <w:tcW w:w="960" w:type="dxa"/>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2015</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20,60</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rPr>
              <w:t>32,57</w:t>
            </w:r>
          </w:p>
        </w:tc>
        <w:tc>
          <w:tcPr>
            <w:tcW w:w="1000"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rPr>
              <w:t>8,84</w:t>
            </w:r>
          </w:p>
        </w:tc>
        <w:tc>
          <w:tcPr>
            <w:tcW w:w="1442" w:type="dxa"/>
            <w:shd w:val="clear" w:color="auto" w:fill="D9D9D9"/>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3,7</w:t>
            </w:r>
          </w:p>
        </w:tc>
      </w:tr>
      <w:tr w:rsidR="00113FCD" w:rsidRPr="00113FCD" w:rsidTr="005C15C7">
        <w:trPr>
          <w:trHeight w:val="255"/>
        </w:trPr>
        <w:tc>
          <w:tcPr>
            <w:tcW w:w="960" w:type="dxa"/>
            <w:shd w:val="clear" w:color="auto" w:fill="FFC000"/>
            <w:noWrap/>
            <w:vAlign w:val="bottom"/>
          </w:tcPr>
          <w:p w:rsidR="00113FCD" w:rsidRPr="00113FCD" w:rsidRDefault="00113FCD" w:rsidP="00113FCD">
            <w:pPr>
              <w:spacing w:after="0" w:line="360" w:lineRule="auto"/>
              <w:jc w:val="center"/>
              <w:rPr>
                <w:rFonts w:asciiTheme="minorHAnsi" w:hAnsiTheme="minorHAnsi" w:cs="Arial"/>
                <w:b/>
                <w:bCs/>
                <w:lang w:eastAsia="sl-SI"/>
              </w:rPr>
            </w:pPr>
            <w:r w:rsidRPr="00113FCD">
              <w:rPr>
                <w:rFonts w:asciiTheme="minorHAnsi" w:hAnsiTheme="minorHAnsi" w:cs="Arial"/>
                <w:b/>
                <w:bCs/>
                <w:lang w:eastAsia="sl-SI"/>
              </w:rPr>
              <w:t>2016</w:t>
            </w:r>
          </w:p>
        </w:tc>
        <w:tc>
          <w:tcPr>
            <w:tcW w:w="1000" w:type="dxa"/>
            <w:shd w:val="clear" w:color="auto" w:fill="FFC000"/>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17,97</w:t>
            </w:r>
          </w:p>
        </w:tc>
        <w:tc>
          <w:tcPr>
            <w:tcW w:w="1000" w:type="dxa"/>
            <w:shd w:val="clear" w:color="auto" w:fill="FFC000"/>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28,71</w:t>
            </w:r>
          </w:p>
        </w:tc>
        <w:tc>
          <w:tcPr>
            <w:tcW w:w="1000" w:type="dxa"/>
            <w:shd w:val="clear" w:color="auto" w:fill="FFC000"/>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7,40</w:t>
            </w:r>
          </w:p>
        </w:tc>
        <w:tc>
          <w:tcPr>
            <w:tcW w:w="1442" w:type="dxa"/>
            <w:shd w:val="clear" w:color="auto" w:fill="FFC000"/>
            <w:noWrap/>
            <w:vAlign w:val="bottom"/>
          </w:tcPr>
          <w:p w:rsidR="00113FCD" w:rsidRPr="00113FCD" w:rsidRDefault="00113FCD" w:rsidP="00113FCD">
            <w:pPr>
              <w:spacing w:after="0" w:line="360" w:lineRule="auto"/>
              <w:jc w:val="center"/>
              <w:rPr>
                <w:rFonts w:asciiTheme="minorHAnsi" w:hAnsiTheme="minorHAnsi" w:cs="Arial"/>
                <w:lang w:eastAsia="sl-SI"/>
              </w:rPr>
            </w:pPr>
            <w:r w:rsidRPr="00113FCD">
              <w:rPr>
                <w:rFonts w:asciiTheme="minorHAnsi" w:hAnsiTheme="minorHAnsi" w:cs="Arial"/>
                <w:lang w:eastAsia="sl-SI"/>
              </w:rPr>
              <w:t>3,8</w:t>
            </w:r>
          </w:p>
        </w:tc>
      </w:tr>
    </w:tbl>
    <w:p w:rsidR="00113FCD" w:rsidRPr="00113FCD" w:rsidRDefault="00113FCD" w:rsidP="00113FCD">
      <w:pPr>
        <w:spacing w:after="0" w:line="360" w:lineRule="auto"/>
        <w:rPr>
          <w:rFonts w:asciiTheme="minorHAnsi" w:hAnsiTheme="minorHAnsi"/>
          <w:b/>
          <w:bCs/>
        </w:rPr>
      </w:pPr>
    </w:p>
    <w:p w:rsidR="00113FCD" w:rsidRPr="00113FCD" w:rsidRDefault="00113FCD" w:rsidP="00113FCD">
      <w:pPr>
        <w:spacing w:after="0" w:line="360" w:lineRule="auto"/>
        <w:rPr>
          <w:rFonts w:asciiTheme="minorHAnsi" w:hAnsiTheme="minorHAnsi"/>
          <w:b/>
          <w:bCs/>
        </w:rPr>
      </w:pPr>
      <w:r w:rsidRPr="00113FCD">
        <w:rPr>
          <w:rFonts w:asciiTheme="minorHAnsi" w:hAnsiTheme="minorHAnsi"/>
          <w:b/>
          <w:bCs/>
        </w:rPr>
        <w:t>Tabela 2. Absolutno število samomorov v Sloveniji od leta 2003 - 2016 (skupaj, moški, ženske; Vir: Baza umrlih NIJZ)</w:t>
      </w:r>
    </w:p>
    <w:tbl>
      <w:tblPr>
        <w:tblW w:w="8111" w:type="dxa"/>
        <w:tblInd w:w="-68" w:type="dxa"/>
        <w:tblCellMar>
          <w:left w:w="70" w:type="dxa"/>
          <w:right w:w="70" w:type="dxa"/>
        </w:tblCellMar>
        <w:tblLook w:val="00A0" w:firstRow="1" w:lastRow="0" w:firstColumn="1" w:lastColumn="0" w:noHBand="0" w:noVBand="0"/>
      </w:tblPr>
      <w:tblGrid>
        <w:gridCol w:w="4255"/>
        <w:gridCol w:w="960"/>
        <w:gridCol w:w="960"/>
        <w:gridCol w:w="976"/>
        <w:gridCol w:w="960"/>
      </w:tblGrid>
      <w:tr w:rsidR="00113FCD" w:rsidRPr="00113FCD" w:rsidTr="005C15C7">
        <w:trPr>
          <w:trHeight w:val="300"/>
        </w:trPr>
        <w:tc>
          <w:tcPr>
            <w:tcW w:w="4255" w:type="dxa"/>
            <w:tcBorders>
              <w:top w:val="nil"/>
              <w:left w:val="nil"/>
              <w:right w:val="nil"/>
            </w:tcBorders>
            <w:noWrap/>
            <w:vAlign w:val="bottom"/>
          </w:tcPr>
          <w:tbl>
            <w:tblPr>
              <w:tblW w:w="38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0"/>
              <w:gridCol w:w="960"/>
              <w:gridCol w:w="960"/>
              <w:gridCol w:w="960"/>
            </w:tblGrid>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Leto</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skupaj</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moški</w:t>
                  </w:r>
                </w:p>
              </w:tc>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ženske</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2003</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562</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440</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122</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2004</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512</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370</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142</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503</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391</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112</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2006</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529</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415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114</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2007</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434</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335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99</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2008</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409</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325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84</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2009</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448</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351</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97</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2010</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416</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336</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80</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2011</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437</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348</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89</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2012</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443</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363</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80</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2013</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448</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361</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87</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2014</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388</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325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63</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425</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333</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92</w:t>
                  </w:r>
                </w:p>
              </w:tc>
            </w:tr>
            <w:tr w:rsidR="00113FCD" w:rsidRPr="00113FCD" w:rsidTr="005C15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113FCD" w:rsidRPr="00113FCD" w:rsidRDefault="00113FCD" w:rsidP="00113FCD">
                  <w:pPr>
                    <w:spacing w:after="0" w:line="360" w:lineRule="auto"/>
                    <w:jc w:val="center"/>
                    <w:rPr>
                      <w:rFonts w:asciiTheme="minorHAnsi" w:hAnsiTheme="minorHAnsi"/>
                      <w:b/>
                      <w:bCs/>
                      <w:color w:val="000000"/>
                      <w:lang w:eastAsia="sl-SI"/>
                    </w:rPr>
                  </w:pPr>
                  <w:r w:rsidRPr="00113FCD">
                    <w:rPr>
                      <w:rFonts w:asciiTheme="minorHAnsi" w:hAnsiTheme="minorHAnsi"/>
                      <w:b/>
                      <w:bCs/>
                      <w:color w:val="000000"/>
                      <w:lang w:eastAsia="sl-SI"/>
                    </w:rPr>
                    <w:t>2016</w:t>
                  </w:r>
                </w:p>
              </w:tc>
              <w:tc>
                <w:tcPr>
                  <w:tcW w:w="96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371</w:t>
                  </w:r>
                </w:p>
              </w:tc>
              <w:tc>
                <w:tcPr>
                  <w:tcW w:w="96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294</w:t>
                  </w:r>
                </w:p>
              </w:tc>
              <w:tc>
                <w:tcPr>
                  <w:tcW w:w="96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113FCD" w:rsidRPr="00113FCD" w:rsidRDefault="00113FCD" w:rsidP="00113FCD">
                  <w:pPr>
                    <w:spacing w:after="0" w:line="360" w:lineRule="auto"/>
                    <w:jc w:val="center"/>
                    <w:rPr>
                      <w:rFonts w:asciiTheme="minorHAnsi" w:hAnsiTheme="minorHAnsi"/>
                      <w:color w:val="000000"/>
                      <w:lang w:eastAsia="sl-SI"/>
                    </w:rPr>
                  </w:pPr>
                  <w:r w:rsidRPr="00113FCD">
                    <w:rPr>
                      <w:rFonts w:asciiTheme="minorHAnsi" w:hAnsiTheme="minorHAnsi"/>
                      <w:color w:val="000000"/>
                      <w:lang w:eastAsia="sl-SI"/>
                    </w:rPr>
                    <w:t>77</w:t>
                  </w:r>
                </w:p>
              </w:tc>
            </w:tr>
          </w:tbl>
          <w:p w:rsidR="00113FCD" w:rsidRPr="00113FCD" w:rsidRDefault="00113FCD" w:rsidP="00113FCD">
            <w:pPr>
              <w:spacing w:after="0" w:line="360" w:lineRule="auto"/>
              <w:rPr>
                <w:rFonts w:asciiTheme="minorHAnsi" w:hAnsiTheme="minorHAnsi"/>
                <w:color w:val="000000"/>
                <w:lang w:eastAsia="sl-SI"/>
              </w:rPr>
            </w:pPr>
          </w:p>
        </w:tc>
        <w:tc>
          <w:tcPr>
            <w:tcW w:w="960" w:type="dxa"/>
            <w:tcBorders>
              <w:top w:val="nil"/>
              <w:left w:val="nil"/>
              <w:right w:val="nil"/>
            </w:tcBorders>
            <w:noWrap/>
            <w:vAlign w:val="bottom"/>
          </w:tcPr>
          <w:p w:rsidR="00113FCD" w:rsidRPr="00113FCD" w:rsidRDefault="00113FCD" w:rsidP="00113FCD">
            <w:pPr>
              <w:spacing w:after="0" w:line="360" w:lineRule="auto"/>
              <w:rPr>
                <w:rFonts w:asciiTheme="minorHAnsi" w:hAnsiTheme="minorHAnsi"/>
                <w:color w:val="000000"/>
                <w:lang w:eastAsia="sl-SI"/>
              </w:rPr>
            </w:pPr>
          </w:p>
        </w:tc>
        <w:tc>
          <w:tcPr>
            <w:tcW w:w="960" w:type="dxa"/>
            <w:tcBorders>
              <w:top w:val="nil"/>
              <w:left w:val="nil"/>
              <w:right w:val="nil"/>
            </w:tcBorders>
            <w:noWrap/>
            <w:vAlign w:val="bottom"/>
          </w:tcPr>
          <w:p w:rsidR="00113FCD" w:rsidRPr="00113FCD" w:rsidRDefault="00113FCD" w:rsidP="00113FCD">
            <w:pPr>
              <w:spacing w:after="0" w:line="360" w:lineRule="auto"/>
              <w:rPr>
                <w:rFonts w:asciiTheme="minorHAnsi" w:hAnsiTheme="minorHAnsi"/>
                <w:color w:val="000000"/>
                <w:lang w:eastAsia="sl-SI"/>
              </w:rPr>
            </w:pPr>
          </w:p>
        </w:tc>
        <w:tc>
          <w:tcPr>
            <w:tcW w:w="976" w:type="dxa"/>
            <w:tcBorders>
              <w:top w:val="nil"/>
              <w:left w:val="nil"/>
              <w:right w:val="nil"/>
            </w:tcBorders>
            <w:noWrap/>
            <w:vAlign w:val="bottom"/>
          </w:tcPr>
          <w:p w:rsidR="00113FCD" w:rsidRPr="00113FCD" w:rsidRDefault="00113FCD" w:rsidP="00113FCD">
            <w:pPr>
              <w:spacing w:after="0" w:line="360" w:lineRule="auto"/>
              <w:rPr>
                <w:rFonts w:asciiTheme="minorHAnsi" w:hAnsiTheme="minorHAnsi"/>
                <w:color w:val="000000"/>
                <w:lang w:eastAsia="sl-SI"/>
              </w:rPr>
            </w:pPr>
          </w:p>
        </w:tc>
        <w:tc>
          <w:tcPr>
            <w:tcW w:w="960" w:type="dxa"/>
            <w:tcBorders>
              <w:top w:val="nil"/>
              <w:left w:val="nil"/>
              <w:right w:val="nil"/>
            </w:tcBorders>
            <w:noWrap/>
            <w:vAlign w:val="bottom"/>
          </w:tcPr>
          <w:p w:rsidR="00113FCD" w:rsidRPr="00113FCD" w:rsidRDefault="00113FCD" w:rsidP="00113FCD">
            <w:pPr>
              <w:spacing w:after="0" w:line="360" w:lineRule="auto"/>
              <w:rPr>
                <w:rFonts w:asciiTheme="minorHAnsi" w:hAnsiTheme="minorHAnsi"/>
                <w:color w:val="000000"/>
                <w:lang w:eastAsia="sl-SI"/>
              </w:rPr>
            </w:pPr>
          </w:p>
        </w:tc>
      </w:tr>
      <w:tr w:rsidR="00113FCD" w:rsidRPr="00113FCD" w:rsidTr="005C15C7">
        <w:trPr>
          <w:trHeight w:val="300"/>
        </w:trPr>
        <w:tc>
          <w:tcPr>
            <w:tcW w:w="4255" w:type="dxa"/>
            <w:tcBorders>
              <w:top w:val="nil"/>
              <w:left w:val="nil"/>
              <w:bottom w:val="nil"/>
              <w:right w:val="nil"/>
            </w:tcBorders>
            <w:noWrap/>
            <w:vAlign w:val="bottom"/>
          </w:tcPr>
          <w:p w:rsidR="00113FCD" w:rsidRPr="00113FCD" w:rsidRDefault="00113FCD" w:rsidP="00113FCD">
            <w:pPr>
              <w:spacing w:after="0" w:line="360" w:lineRule="auto"/>
              <w:rPr>
                <w:rFonts w:asciiTheme="minorHAnsi" w:hAnsiTheme="minorHAnsi"/>
                <w:b/>
                <w:bCs/>
                <w:color w:val="000000"/>
                <w:lang w:eastAsia="sl-SI"/>
              </w:rPr>
            </w:pPr>
          </w:p>
        </w:tc>
        <w:tc>
          <w:tcPr>
            <w:tcW w:w="960"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b/>
                <w:bCs/>
                <w:color w:val="000000"/>
                <w:lang w:eastAsia="sl-SI"/>
              </w:rPr>
            </w:pPr>
          </w:p>
        </w:tc>
        <w:tc>
          <w:tcPr>
            <w:tcW w:w="960"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b/>
                <w:bCs/>
                <w:color w:val="000000"/>
                <w:lang w:eastAsia="sl-SI"/>
              </w:rPr>
            </w:pPr>
          </w:p>
        </w:tc>
        <w:tc>
          <w:tcPr>
            <w:tcW w:w="976"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b/>
                <w:bCs/>
                <w:color w:val="000000"/>
                <w:lang w:eastAsia="sl-SI"/>
              </w:rPr>
            </w:pPr>
          </w:p>
        </w:tc>
        <w:tc>
          <w:tcPr>
            <w:tcW w:w="960"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b/>
                <w:bCs/>
                <w:color w:val="000000"/>
                <w:lang w:eastAsia="sl-SI"/>
              </w:rPr>
            </w:pPr>
          </w:p>
        </w:tc>
      </w:tr>
      <w:tr w:rsidR="00113FCD" w:rsidRPr="00113FCD" w:rsidTr="005C15C7">
        <w:trPr>
          <w:trHeight w:val="300"/>
        </w:trPr>
        <w:tc>
          <w:tcPr>
            <w:tcW w:w="4255" w:type="dxa"/>
            <w:tcBorders>
              <w:top w:val="nil"/>
              <w:left w:val="nil"/>
              <w:bottom w:val="nil"/>
              <w:right w:val="nil"/>
            </w:tcBorders>
            <w:noWrap/>
            <w:vAlign w:val="bottom"/>
          </w:tcPr>
          <w:p w:rsidR="00113FCD" w:rsidRPr="00113FCD" w:rsidRDefault="00113FCD" w:rsidP="00113FCD">
            <w:pPr>
              <w:spacing w:after="0" w:line="360" w:lineRule="auto"/>
              <w:rPr>
                <w:rFonts w:asciiTheme="minorHAnsi" w:hAnsiTheme="minorHAnsi"/>
                <w:color w:val="000000"/>
                <w:lang w:eastAsia="sl-SI"/>
              </w:rPr>
            </w:pPr>
          </w:p>
        </w:tc>
        <w:tc>
          <w:tcPr>
            <w:tcW w:w="960"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color w:val="000000"/>
                <w:lang w:eastAsia="sl-SI"/>
              </w:rPr>
            </w:pPr>
          </w:p>
        </w:tc>
        <w:tc>
          <w:tcPr>
            <w:tcW w:w="960"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color w:val="000000"/>
                <w:lang w:eastAsia="sl-SI"/>
              </w:rPr>
            </w:pPr>
          </w:p>
        </w:tc>
        <w:tc>
          <w:tcPr>
            <w:tcW w:w="976"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color w:val="000000"/>
                <w:lang w:eastAsia="sl-SI"/>
              </w:rPr>
            </w:pPr>
          </w:p>
        </w:tc>
        <w:tc>
          <w:tcPr>
            <w:tcW w:w="960" w:type="dxa"/>
            <w:tcBorders>
              <w:top w:val="nil"/>
              <w:left w:val="nil"/>
              <w:bottom w:val="nil"/>
              <w:right w:val="nil"/>
            </w:tcBorders>
            <w:noWrap/>
            <w:vAlign w:val="bottom"/>
          </w:tcPr>
          <w:p w:rsidR="00113FCD" w:rsidRPr="00113FCD" w:rsidRDefault="00113FCD" w:rsidP="00113FCD">
            <w:pPr>
              <w:spacing w:after="0" w:line="360" w:lineRule="auto"/>
              <w:jc w:val="right"/>
              <w:rPr>
                <w:rFonts w:asciiTheme="minorHAnsi" w:hAnsiTheme="minorHAnsi"/>
                <w:color w:val="000000"/>
                <w:lang w:eastAsia="sl-SI"/>
              </w:rPr>
            </w:pPr>
          </w:p>
        </w:tc>
      </w:tr>
    </w:tbl>
    <w:p w:rsidR="00113FCD" w:rsidRPr="00113FCD" w:rsidRDefault="00113FCD" w:rsidP="00113FCD">
      <w:pPr>
        <w:spacing w:after="0" w:line="360" w:lineRule="auto"/>
        <w:rPr>
          <w:rFonts w:asciiTheme="minorHAnsi" w:hAnsiTheme="minorHAnsi"/>
          <w:b/>
          <w:bCs/>
        </w:rPr>
      </w:pPr>
      <w:r w:rsidRPr="00113FCD">
        <w:rPr>
          <w:rFonts w:asciiTheme="minorHAnsi" w:hAnsiTheme="minorHAnsi"/>
          <w:b/>
          <w:bCs/>
        </w:rPr>
        <w:t>Tabela 3. Količniki samomora v različnih statističnih regijah v letu 2016 (skupaj, moški, ženske; Vir: Baza umrlih NIJZ)</w:t>
      </w:r>
    </w:p>
    <w:tbl>
      <w:tblPr>
        <w:tblStyle w:val="Tabelamrea"/>
        <w:tblW w:w="0" w:type="auto"/>
        <w:tblLook w:val="04A0" w:firstRow="1" w:lastRow="0" w:firstColumn="1" w:lastColumn="0" w:noHBand="0" w:noVBand="1"/>
      </w:tblPr>
      <w:tblGrid>
        <w:gridCol w:w="2265"/>
        <w:gridCol w:w="2265"/>
        <w:gridCol w:w="2265"/>
        <w:gridCol w:w="2265"/>
      </w:tblGrid>
      <w:tr w:rsidR="00113FCD" w:rsidRPr="00113FCD" w:rsidTr="005C15C7">
        <w:tc>
          <w:tcPr>
            <w:tcW w:w="2265" w:type="dxa"/>
            <w:shd w:val="clear" w:color="auto" w:fill="C2D69B" w:themeFill="accent3" w:themeFillTint="99"/>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Statistična regija</w:t>
            </w:r>
          </w:p>
        </w:tc>
        <w:tc>
          <w:tcPr>
            <w:tcW w:w="2265" w:type="dxa"/>
            <w:shd w:val="clear" w:color="auto" w:fill="C2D69B" w:themeFill="accent3" w:themeFillTint="99"/>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Samomorilni količnik skupaj</w:t>
            </w:r>
          </w:p>
        </w:tc>
        <w:tc>
          <w:tcPr>
            <w:tcW w:w="2265" w:type="dxa"/>
            <w:shd w:val="clear" w:color="auto" w:fill="C2D69B" w:themeFill="accent3" w:themeFillTint="99"/>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Samomorilni količnik moški</w:t>
            </w:r>
          </w:p>
        </w:tc>
        <w:tc>
          <w:tcPr>
            <w:tcW w:w="2265" w:type="dxa"/>
            <w:shd w:val="clear" w:color="auto" w:fill="C2D69B" w:themeFill="accent3" w:themeFillTint="99"/>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Samomorilni količnik ženske</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Pomurska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17,27</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29,86</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5,10</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Podravska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18,66</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28,81</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8,65</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Koroška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25,35</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44,91</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5,65</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Savinjska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24,72</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36,83</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12,58</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Zasavska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20,88</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35,31</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6,86</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Posavska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21,14</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36,76</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5,32</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Jugovzhodna Slovenija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11,92</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20,84</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2,83</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Osrednjeslovenska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15,80</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23,18</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8,74</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Gorenjska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18,17</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29,74</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6,81</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Primorsko notranjska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15,21</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26,29</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3,85</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Goriška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15,26</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28,83</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1,70</w:t>
            </w:r>
          </w:p>
        </w:tc>
      </w:tr>
      <w:tr w:rsidR="00113FCD" w:rsidRPr="00113FCD" w:rsidTr="005C15C7">
        <w:tc>
          <w:tcPr>
            <w:tcW w:w="2265" w:type="dxa"/>
            <w:shd w:val="clear" w:color="auto" w:fill="C2D69B" w:themeFill="accent3" w:themeFillTint="9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Obalno kraška</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15,02</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24,99</w:t>
            </w:r>
          </w:p>
        </w:tc>
        <w:tc>
          <w:tcPr>
            <w:tcW w:w="2265" w:type="dxa"/>
            <w:shd w:val="clear" w:color="auto" w:fill="D9D9D9" w:themeFill="background1" w:themeFillShade="D9"/>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5,25</w:t>
            </w:r>
          </w:p>
        </w:tc>
      </w:tr>
    </w:tbl>
    <w:p w:rsidR="00113FCD" w:rsidRDefault="00113FCD" w:rsidP="00113FCD">
      <w:pPr>
        <w:spacing w:after="0" w:line="360" w:lineRule="auto"/>
        <w:rPr>
          <w:rFonts w:asciiTheme="minorHAnsi" w:hAnsiTheme="minorHAnsi"/>
          <w:b/>
          <w:bCs/>
        </w:rPr>
      </w:pPr>
    </w:p>
    <w:p w:rsidR="00113FCD" w:rsidRPr="00113FCD" w:rsidRDefault="00113FCD" w:rsidP="00113FCD">
      <w:pPr>
        <w:spacing w:after="0" w:line="360" w:lineRule="auto"/>
        <w:rPr>
          <w:rFonts w:asciiTheme="minorHAnsi" w:hAnsiTheme="minorHAnsi"/>
          <w:b/>
          <w:bCs/>
        </w:rPr>
      </w:pPr>
      <w:r w:rsidRPr="00113FCD">
        <w:rPr>
          <w:rFonts w:asciiTheme="minorHAnsi" w:hAnsiTheme="minorHAnsi"/>
          <w:b/>
          <w:bCs/>
        </w:rPr>
        <w:t>Tabela 4. Količniki samomora v različnih starostnih skupinah 2016 (skupno za oba spola; Vir: Baza umrlih NIJZ)</w:t>
      </w:r>
    </w:p>
    <w:tbl>
      <w:tblPr>
        <w:tblStyle w:val="Tabelamrea"/>
        <w:tblW w:w="0" w:type="auto"/>
        <w:tblLook w:val="04A0" w:firstRow="1" w:lastRow="0" w:firstColumn="1" w:lastColumn="0" w:noHBand="0" w:noVBand="1"/>
      </w:tblPr>
      <w:tblGrid>
        <w:gridCol w:w="1129"/>
        <w:gridCol w:w="2694"/>
      </w:tblGrid>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Starostne skupine</w:t>
            </w:r>
          </w:p>
        </w:tc>
        <w:tc>
          <w:tcPr>
            <w:tcW w:w="2694" w:type="dxa"/>
            <w:shd w:val="clear" w:color="auto" w:fill="C2D69B" w:themeFill="accent3" w:themeFillTint="9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Samomorilni količnik</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10-19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5,91</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20-29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11,78</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30-39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16,02</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40-49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16,37</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50-59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27,98</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60-69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19,23</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70-79 let</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36,50</w:t>
            </w:r>
          </w:p>
        </w:tc>
      </w:tr>
      <w:tr w:rsidR="00113FCD" w:rsidRPr="00113FCD" w:rsidTr="005C15C7">
        <w:trPr>
          <w:trHeight w:val="255"/>
        </w:trPr>
        <w:tc>
          <w:tcPr>
            <w:tcW w:w="1129" w:type="dxa"/>
            <w:shd w:val="clear" w:color="auto" w:fill="C2D69B" w:themeFill="accent3" w:themeFillTint="99"/>
            <w:noWrap/>
            <w:hideMark/>
          </w:tcPr>
          <w:p w:rsidR="00113FCD" w:rsidRPr="00113FCD" w:rsidRDefault="00113FCD" w:rsidP="00113FCD">
            <w:pPr>
              <w:spacing w:line="360" w:lineRule="auto"/>
              <w:rPr>
                <w:rFonts w:asciiTheme="minorHAnsi" w:hAnsiTheme="minorHAnsi"/>
                <w:b/>
                <w:bCs/>
                <w:sz w:val="22"/>
                <w:szCs w:val="22"/>
              </w:rPr>
            </w:pPr>
            <w:r w:rsidRPr="00113FCD">
              <w:rPr>
                <w:rFonts w:asciiTheme="minorHAnsi" w:hAnsiTheme="minorHAnsi"/>
                <w:b/>
                <w:bCs/>
                <w:sz w:val="22"/>
                <w:szCs w:val="22"/>
              </w:rPr>
              <w:t>80+</w:t>
            </w:r>
          </w:p>
        </w:tc>
        <w:tc>
          <w:tcPr>
            <w:tcW w:w="2694" w:type="dxa"/>
            <w:shd w:val="clear" w:color="auto" w:fill="D9D9D9" w:themeFill="background1" w:themeFillShade="D9"/>
            <w:noWrap/>
            <w:hideMark/>
          </w:tcPr>
          <w:p w:rsidR="00113FCD" w:rsidRPr="00113FCD" w:rsidRDefault="00113FCD" w:rsidP="00113FCD">
            <w:pPr>
              <w:spacing w:line="360" w:lineRule="auto"/>
              <w:jc w:val="center"/>
              <w:rPr>
                <w:rFonts w:asciiTheme="minorHAnsi" w:hAnsiTheme="minorHAnsi"/>
                <w:b/>
                <w:bCs/>
                <w:sz w:val="22"/>
                <w:szCs w:val="22"/>
              </w:rPr>
            </w:pPr>
            <w:r w:rsidRPr="00113FCD">
              <w:rPr>
                <w:rFonts w:asciiTheme="minorHAnsi" w:hAnsiTheme="minorHAnsi"/>
                <w:b/>
                <w:bCs/>
                <w:sz w:val="22"/>
                <w:szCs w:val="22"/>
              </w:rPr>
              <w:t>39,47</w:t>
            </w:r>
          </w:p>
        </w:tc>
      </w:tr>
    </w:tbl>
    <w:p w:rsidR="00113FCD" w:rsidRPr="00113FCD" w:rsidRDefault="00113FCD" w:rsidP="00113FCD">
      <w:pPr>
        <w:spacing w:after="0" w:line="360" w:lineRule="auto"/>
        <w:rPr>
          <w:rFonts w:asciiTheme="minorHAnsi" w:hAnsiTheme="minorHAnsi"/>
          <w:b/>
          <w:bCs/>
        </w:rPr>
      </w:pPr>
    </w:p>
    <w:p w:rsidR="00113FCD" w:rsidRPr="00113FCD" w:rsidRDefault="00113FCD" w:rsidP="00113FCD">
      <w:pPr>
        <w:spacing w:after="0" w:line="360" w:lineRule="auto"/>
        <w:jc w:val="both"/>
        <w:rPr>
          <w:rFonts w:asciiTheme="minorHAnsi" w:hAnsiTheme="minorHAnsi"/>
        </w:rPr>
      </w:pPr>
      <w:r w:rsidRPr="00113FCD">
        <w:rPr>
          <w:rFonts w:asciiTheme="minorHAnsi" w:hAnsiTheme="minorHAnsi"/>
        </w:rPr>
        <w:t xml:space="preserve">Besedilo pripravila: </w:t>
      </w:r>
      <w:r w:rsidRPr="00113FCD">
        <w:rPr>
          <w:rFonts w:asciiTheme="minorHAnsi" w:hAnsiTheme="minorHAnsi"/>
          <w:b/>
        </w:rPr>
        <w:t>doc. dr. Saška Roškar</w:t>
      </w:r>
      <w:r w:rsidRPr="00113FCD">
        <w:rPr>
          <w:rFonts w:asciiTheme="minorHAnsi" w:hAnsiTheme="minorHAnsi"/>
        </w:rPr>
        <w:t>, Nacionalni inštitut za javno zdravje</w:t>
      </w:r>
    </w:p>
    <w:p w:rsidR="000E6BF8" w:rsidRPr="00113FCD" w:rsidRDefault="00113FCD" w:rsidP="00113FCD">
      <w:pPr>
        <w:spacing w:after="0" w:line="360" w:lineRule="auto"/>
        <w:rPr>
          <w:rFonts w:asciiTheme="minorHAnsi" w:hAnsiTheme="minorHAnsi"/>
        </w:rPr>
      </w:pPr>
      <w:r w:rsidRPr="00113FCD">
        <w:rPr>
          <w:rFonts w:asciiTheme="minorHAnsi" w:hAnsiTheme="minorHAnsi"/>
        </w:rPr>
        <w:t xml:space="preserve">Podatke pripravila: </w:t>
      </w:r>
      <w:r w:rsidRPr="00113FCD">
        <w:rPr>
          <w:rFonts w:asciiTheme="minorHAnsi" w:hAnsiTheme="minorHAnsi"/>
          <w:b/>
        </w:rPr>
        <w:t xml:space="preserve">Miloš Kravanja in Vili Prodan, </w:t>
      </w:r>
      <w:r w:rsidRPr="00113FCD">
        <w:rPr>
          <w:rFonts w:asciiTheme="minorHAnsi" w:hAnsiTheme="minorHAnsi"/>
        </w:rPr>
        <w:t>NIJZ</w:t>
      </w:r>
    </w:p>
    <w:sectPr w:rsidR="000E6BF8" w:rsidRPr="00113FCD" w:rsidSect="00113FCD">
      <w:pgSz w:w="11906" w:h="16838"/>
      <w:pgMar w:top="141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CD"/>
    <w:rsid w:val="0004127F"/>
    <w:rsid w:val="000E6BF8"/>
    <w:rsid w:val="00113FCD"/>
    <w:rsid w:val="002050F1"/>
    <w:rsid w:val="00C24D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3FCD"/>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113FC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3FCD"/>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113FC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1</cp:revision>
  <dcterms:created xsi:type="dcterms:W3CDTF">2017-09-01T09:43:00Z</dcterms:created>
  <dcterms:modified xsi:type="dcterms:W3CDTF">2017-09-01T09:45:00Z</dcterms:modified>
</cp:coreProperties>
</file>